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B604CB" w14:textId="2447D8A9" w:rsidR="00A2620A" w:rsidRPr="00BB66A8" w:rsidRDefault="00DC23DB" w:rsidP="000B47C6">
      <w:pPr>
        <w:pStyle w:val="Titolo1"/>
        <w:jc w:val="center"/>
        <w:rPr>
          <w:rFonts w:ascii="Times New Roman" w:hAnsi="Times New Roman" w:cs="Times New Roman"/>
          <w:b/>
          <w:bCs/>
          <w:color w:val="000000" w:themeColor="text1"/>
          <w:sz w:val="48"/>
          <w:szCs w:val="48"/>
        </w:rPr>
      </w:pPr>
      <w:r>
        <w:rPr>
          <w:rFonts w:ascii="Times New Roman" w:hAnsi="Times New Roman" w:cs="Times New Roman"/>
          <w:b/>
          <w:bCs/>
          <w:color w:val="000000" w:themeColor="text1"/>
          <w:sz w:val="48"/>
          <w:szCs w:val="48"/>
        </w:rPr>
        <w:t>Direct cyclodextrin based p</w:t>
      </w:r>
      <w:r w:rsidR="00562C7D" w:rsidRPr="00BB66A8">
        <w:rPr>
          <w:rFonts w:ascii="Times New Roman" w:hAnsi="Times New Roman" w:cs="Times New Roman"/>
          <w:b/>
          <w:bCs/>
          <w:color w:val="000000" w:themeColor="text1"/>
          <w:sz w:val="48"/>
          <w:szCs w:val="48"/>
        </w:rPr>
        <w:t>ow</w:t>
      </w:r>
      <w:r>
        <w:rPr>
          <w:rFonts w:ascii="Times New Roman" w:hAnsi="Times New Roman" w:cs="Times New Roman"/>
          <w:b/>
          <w:bCs/>
          <w:color w:val="000000" w:themeColor="text1"/>
          <w:sz w:val="48"/>
          <w:szCs w:val="48"/>
        </w:rPr>
        <w:t>der extrusion 3D p</w:t>
      </w:r>
      <w:r w:rsidR="009D091E" w:rsidRPr="00BB66A8">
        <w:rPr>
          <w:rFonts w:ascii="Times New Roman" w:hAnsi="Times New Roman" w:cs="Times New Roman"/>
          <w:b/>
          <w:bCs/>
          <w:color w:val="000000" w:themeColor="text1"/>
          <w:sz w:val="48"/>
          <w:szCs w:val="48"/>
        </w:rPr>
        <w:t xml:space="preserve">rinting of </w:t>
      </w:r>
      <w:r>
        <w:rPr>
          <w:rFonts w:ascii="Times New Roman" w:hAnsi="Times New Roman" w:cs="Times New Roman"/>
          <w:b/>
          <w:bCs/>
          <w:color w:val="000000" w:themeColor="text1"/>
          <w:sz w:val="48"/>
          <w:szCs w:val="48"/>
        </w:rPr>
        <w:t>b</w:t>
      </w:r>
      <w:r w:rsidR="00A2620A" w:rsidRPr="00BB66A8">
        <w:rPr>
          <w:rFonts w:ascii="Times New Roman" w:hAnsi="Times New Roman" w:cs="Times New Roman"/>
          <w:b/>
          <w:bCs/>
          <w:color w:val="000000" w:themeColor="text1"/>
          <w:sz w:val="48"/>
          <w:szCs w:val="48"/>
        </w:rPr>
        <w:t xml:space="preserve">udesonide </w:t>
      </w:r>
      <w:r w:rsidR="001061E8" w:rsidRPr="00BB66A8">
        <w:rPr>
          <w:rFonts w:ascii="Times New Roman" w:hAnsi="Times New Roman" w:cs="Times New Roman"/>
          <w:b/>
          <w:bCs/>
          <w:color w:val="000000" w:themeColor="text1"/>
          <w:sz w:val="48"/>
          <w:szCs w:val="48"/>
        </w:rPr>
        <w:t xml:space="preserve">loaded </w:t>
      </w:r>
      <w:r>
        <w:rPr>
          <w:rFonts w:ascii="Times New Roman" w:hAnsi="Times New Roman" w:cs="Times New Roman"/>
          <w:b/>
          <w:bCs/>
          <w:color w:val="000000" w:themeColor="text1"/>
          <w:sz w:val="48"/>
          <w:szCs w:val="48"/>
        </w:rPr>
        <w:t>m</w:t>
      </w:r>
      <w:r w:rsidR="00A2620A" w:rsidRPr="00BB66A8">
        <w:rPr>
          <w:rFonts w:ascii="Times New Roman" w:hAnsi="Times New Roman" w:cs="Times New Roman"/>
          <w:b/>
          <w:bCs/>
          <w:color w:val="000000" w:themeColor="text1"/>
          <w:sz w:val="48"/>
          <w:szCs w:val="48"/>
        </w:rPr>
        <w:t>ini-</w:t>
      </w:r>
      <w:r>
        <w:rPr>
          <w:rFonts w:ascii="Times New Roman" w:hAnsi="Times New Roman" w:cs="Times New Roman"/>
          <w:b/>
          <w:bCs/>
          <w:color w:val="000000" w:themeColor="text1"/>
          <w:sz w:val="48"/>
          <w:szCs w:val="48"/>
        </w:rPr>
        <w:t>tablets for the treatment of e</w:t>
      </w:r>
      <w:r w:rsidR="00A2620A" w:rsidRPr="00BB66A8">
        <w:rPr>
          <w:rFonts w:ascii="Times New Roman" w:hAnsi="Times New Roman" w:cs="Times New Roman"/>
          <w:b/>
          <w:bCs/>
          <w:color w:val="000000" w:themeColor="text1"/>
          <w:sz w:val="48"/>
          <w:szCs w:val="48"/>
        </w:rPr>
        <w:t>osinophilic colitis in paediatric patients</w:t>
      </w:r>
    </w:p>
    <w:p w14:paraId="667B867E" w14:textId="77777777" w:rsidR="00523922" w:rsidRPr="00BB66A8" w:rsidRDefault="00523922" w:rsidP="00847254">
      <w:pPr>
        <w:jc w:val="center"/>
        <w:rPr>
          <w:rFonts w:ascii="Times New Roman" w:hAnsi="Times New Roman" w:cs="Times New Roman"/>
          <w:sz w:val="20"/>
          <w:szCs w:val="20"/>
          <w:lang w:val="en-US"/>
        </w:rPr>
      </w:pPr>
    </w:p>
    <w:p w14:paraId="4200BB0A" w14:textId="41B797B3" w:rsidR="00847254" w:rsidRPr="00BB66A8" w:rsidRDefault="00847254" w:rsidP="00847254">
      <w:pPr>
        <w:jc w:val="center"/>
        <w:rPr>
          <w:rFonts w:ascii="Times New Roman" w:hAnsi="Times New Roman" w:cs="Times New Roman"/>
          <w:sz w:val="24"/>
          <w:szCs w:val="24"/>
          <w:lang w:val="it-IT"/>
        </w:rPr>
      </w:pPr>
      <w:r w:rsidRPr="00BB66A8">
        <w:rPr>
          <w:rFonts w:ascii="Times New Roman" w:hAnsi="Times New Roman" w:cs="Times New Roman"/>
          <w:sz w:val="24"/>
          <w:szCs w:val="24"/>
          <w:lang w:val="it-IT"/>
        </w:rPr>
        <w:t>Monica Pistone</w:t>
      </w:r>
      <w:r w:rsidRPr="00BB66A8">
        <w:rPr>
          <w:rFonts w:ascii="Times New Roman" w:hAnsi="Times New Roman" w:cs="Times New Roman"/>
          <w:sz w:val="24"/>
          <w:szCs w:val="24"/>
          <w:vertAlign w:val="superscript"/>
          <w:lang w:val="it-IT"/>
        </w:rPr>
        <w:t>1</w:t>
      </w:r>
      <w:r w:rsidRPr="00BB66A8">
        <w:rPr>
          <w:rFonts w:ascii="Times New Roman" w:hAnsi="Times New Roman" w:cs="Times New Roman"/>
          <w:sz w:val="24"/>
          <w:szCs w:val="24"/>
          <w:lang w:val="it-IT"/>
        </w:rPr>
        <w:t>; Giuseppe Francesco Racaniello</w:t>
      </w:r>
      <w:r w:rsidR="00DA615C" w:rsidRPr="00BB66A8">
        <w:rPr>
          <w:rFonts w:ascii="Times New Roman" w:hAnsi="Times New Roman" w:cs="Times New Roman"/>
          <w:sz w:val="24"/>
          <w:szCs w:val="24"/>
          <w:vertAlign w:val="superscript"/>
          <w:lang w:val="it-IT"/>
        </w:rPr>
        <w:t>1</w:t>
      </w:r>
      <w:r w:rsidR="00DA615C" w:rsidRPr="00BB66A8">
        <w:rPr>
          <w:rFonts w:ascii="Times New Roman" w:hAnsi="Times New Roman" w:cs="Times New Roman"/>
          <w:sz w:val="24"/>
          <w:szCs w:val="24"/>
          <w:lang w:val="it-IT"/>
        </w:rPr>
        <w:t>;</w:t>
      </w:r>
      <w:r w:rsidR="00D35BB2">
        <w:rPr>
          <w:rFonts w:ascii="Times New Roman" w:hAnsi="Times New Roman" w:cs="Times New Roman"/>
          <w:sz w:val="24"/>
          <w:szCs w:val="24"/>
          <w:lang w:val="it-IT"/>
        </w:rPr>
        <w:t xml:space="preserve"> </w:t>
      </w:r>
      <w:r w:rsidR="009D3670" w:rsidRPr="00BB66A8">
        <w:rPr>
          <w:rFonts w:ascii="Times New Roman" w:hAnsi="Times New Roman" w:cs="Times New Roman"/>
          <w:sz w:val="24"/>
          <w:szCs w:val="24"/>
          <w:lang w:val="it-IT"/>
        </w:rPr>
        <w:t>Rosanna Rizzi</w:t>
      </w:r>
      <w:r w:rsidR="00D35BB2">
        <w:rPr>
          <w:rFonts w:ascii="Times New Roman" w:hAnsi="Times New Roman" w:cs="Times New Roman"/>
          <w:sz w:val="24"/>
          <w:szCs w:val="24"/>
          <w:vertAlign w:val="superscript"/>
          <w:lang w:val="it-IT"/>
        </w:rPr>
        <w:t>2</w:t>
      </w:r>
      <w:r w:rsidR="009D3670" w:rsidRPr="00BB66A8">
        <w:rPr>
          <w:rFonts w:ascii="Times New Roman" w:hAnsi="Times New Roman" w:cs="Times New Roman"/>
          <w:sz w:val="24"/>
          <w:szCs w:val="24"/>
          <w:lang w:val="it-IT"/>
        </w:rPr>
        <w:t xml:space="preserve">; </w:t>
      </w:r>
      <w:r w:rsidR="00294226" w:rsidRPr="00BB66A8">
        <w:rPr>
          <w:rFonts w:ascii="Times New Roman" w:hAnsi="Times New Roman" w:cs="Times New Roman"/>
          <w:sz w:val="24"/>
          <w:szCs w:val="24"/>
          <w:lang w:val="it-IT"/>
        </w:rPr>
        <w:t>Rosa Maria Iacobazzi</w:t>
      </w:r>
      <w:r w:rsidR="00294226" w:rsidRPr="00BB66A8">
        <w:rPr>
          <w:rFonts w:ascii="Times New Roman" w:hAnsi="Times New Roman" w:cs="Times New Roman"/>
          <w:sz w:val="24"/>
          <w:szCs w:val="24"/>
          <w:vertAlign w:val="superscript"/>
          <w:lang w:val="it-IT"/>
        </w:rPr>
        <w:t>1</w:t>
      </w:r>
      <w:r w:rsidR="00294226" w:rsidRPr="00BB66A8">
        <w:rPr>
          <w:rFonts w:ascii="Times New Roman" w:hAnsi="Times New Roman" w:cs="Times New Roman"/>
          <w:sz w:val="24"/>
          <w:szCs w:val="24"/>
          <w:lang w:val="it-IT"/>
        </w:rPr>
        <w:t>; Ilaria Arduino</w:t>
      </w:r>
      <w:r w:rsidR="00562C7D" w:rsidRPr="00BB66A8">
        <w:rPr>
          <w:rFonts w:ascii="Times New Roman" w:hAnsi="Times New Roman" w:cs="Times New Roman"/>
          <w:sz w:val="24"/>
          <w:szCs w:val="24"/>
          <w:vertAlign w:val="superscript"/>
          <w:lang w:val="it-IT"/>
        </w:rPr>
        <w:t>1</w:t>
      </w:r>
      <w:r w:rsidR="00562C7D" w:rsidRPr="00BB66A8">
        <w:rPr>
          <w:rFonts w:ascii="Times New Roman" w:hAnsi="Times New Roman" w:cs="Times New Roman"/>
          <w:sz w:val="24"/>
          <w:szCs w:val="24"/>
          <w:lang w:val="it-IT"/>
        </w:rPr>
        <w:t xml:space="preserve">; </w:t>
      </w:r>
      <w:r w:rsidR="007A22E0">
        <w:rPr>
          <w:rFonts w:ascii="Times New Roman" w:hAnsi="Times New Roman" w:cs="Times New Roman"/>
          <w:sz w:val="24"/>
          <w:szCs w:val="24"/>
          <w:lang w:val="it-IT"/>
        </w:rPr>
        <w:t>Antonio Lopalco</w:t>
      </w:r>
      <w:r w:rsidR="007A22E0" w:rsidRPr="007A22E0">
        <w:rPr>
          <w:rFonts w:ascii="Times New Roman" w:hAnsi="Times New Roman" w:cs="Times New Roman"/>
          <w:sz w:val="24"/>
          <w:szCs w:val="24"/>
          <w:vertAlign w:val="superscript"/>
          <w:lang w:val="it-IT"/>
        </w:rPr>
        <w:t>1</w:t>
      </w:r>
      <w:r w:rsidR="007A22E0">
        <w:rPr>
          <w:rFonts w:ascii="Times New Roman" w:hAnsi="Times New Roman" w:cs="Times New Roman"/>
          <w:sz w:val="24"/>
          <w:szCs w:val="24"/>
          <w:lang w:val="it-IT"/>
        </w:rPr>
        <w:t xml:space="preserve">; </w:t>
      </w:r>
      <w:r w:rsidR="00562C7D" w:rsidRPr="00BB66A8">
        <w:rPr>
          <w:rFonts w:ascii="Times New Roman" w:hAnsi="Times New Roman" w:cs="Times New Roman"/>
          <w:sz w:val="24"/>
          <w:szCs w:val="24"/>
          <w:lang w:val="it-IT"/>
        </w:rPr>
        <w:t>Angela</w:t>
      </w:r>
      <w:r w:rsidRPr="00BB66A8">
        <w:rPr>
          <w:rFonts w:ascii="Times New Roman" w:hAnsi="Times New Roman" w:cs="Times New Roman"/>
          <w:sz w:val="24"/>
          <w:szCs w:val="24"/>
          <w:lang w:val="it-IT"/>
        </w:rPr>
        <w:t xml:space="preserve"> Assunta Lopedota</w:t>
      </w:r>
      <w:r w:rsidRPr="00BB66A8">
        <w:rPr>
          <w:rFonts w:ascii="Times New Roman" w:hAnsi="Times New Roman" w:cs="Times New Roman"/>
          <w:sz w:val="24"/>
          <w:szCs w:val="24"/>
          <w:vertAlign w:val="superscript"/>
          <w:lang w:val="it-IT"/>
        </w:rPr>
        <w:t>1</w:t>
      </w:r>
      <w:r w:rsidR="00294226" w:rsidRPr="00BB66A8">
        <w:rPr>
          <w:rFonts w:ascii="Times New Roman" w:hAnsi="Times New Roman" w:cs="Times New Roman"/>
          <w:sz w:val="24"/>
          <w:szCs w:val="24"/>
          <w:vertAlign w:val="superscript"/>
          <w:lang w:val="it-IT"/>
        </w:rPr>
        <w:t>*</w:t>
      </w:r>
      <w:r w:rsidRPr="00BB66A8">
        <w:rPr>
          <w:rFonts w:ascii="Times New Roman" w:hAnsi="Times New Roman" w:cs="Times New Roman"/>
          <w:sz w:val="24"/>
          <w:szCs w:val="24"/>
          <w:lang w:val="it-IT"/>
        </w:rPr>
        <w:t>; Nunzio Denora</w:t>
      </w:r>
      <w:r w:rsidRPr="00BB66A8">
        <w:rPr>
          <w:rFonts w:ascii="Times New Roman" w:hAnsi="Times New Roman" w:cs="Times New Roman"/>
          <w:sz w:val="24"/>
          <w:szCs w:val="24"/>
          <w:vertAlign w:val="superscript"/>
          <w:lang w:val="it-IT"/>
        </w:rPr>
        <w:t>1</w:t>
      </w:r>
      <w:r w:rsidR="00080770" w:rsidRPr="00BB66A8">
        <w:rPr>
          <w:rFonts w:ascii="Times New Roman" w:hAnsi="Times New Roman" w:cs="Times New Roman"/>
          <w:sz w:val="24"/>
          <w:szCs w:val="24"/>
          <w:vertAlign w:val="superscript"/>
          <w:lang w:val="it-IT"/>
        </w:rPr>
        <w:t>*</w:t>
      </w:r>
      <w:r w:rsidRPr="00BB66A8">
        <w:rPr>
          <w:rFonts w:ascii="Times New Roman" w:hAnsi="Times New Roman" w:cs="Times New Roman"/>
          <w:sz w:val="24"/>
          <w:szCs w:val="24"/>
          <w:lang w:val="it-IT"/>
        </w:rPr>
        <w:t>.</w:t>
      </w:r>
    </w:p>
    <w:p w14:paraId="57E62F09" w14:textId="77777777" w:rsidR="00523922" w:rsidRPr="00BB66A8" w:rsidRDefault="00523922" w:rsidP="00523922">
      <w:pPr>
        <w:rPr>
          <w:rFonts w:ascii="Times New Roman" w:hAnsi="Times New Roman" w:cs="Times New Roman"/>
          <w:sz w:val="18"/>
          <w:szCs w:val="18"/>
          <w:vertAlign w:val="superscript"/>
          <w:lang w:val="it-IT"/>
        </w:rPr>
      </w:pPr>
    </w:p>
    <w:p w14:paraId="5751FB8E" w14:textId="2E1163C1" w:rsidR="00523922" w:rsidRPr="00BB66A8" w:rsidRDefault="00523922" w:rsidP="00080770">
      <w:pPr>
        <w:jc w:val="center"/>
        <w:rPr>
          <w:rFonts w:ascii="Times New Roman" w:hAnsi="Times New Roman" w:cs="Times New Roman"/>
          <w:sz w:val="18"/>
          <w:szCs w:val="18"/>
        </w:rPr>
      </w:pPr>
      <w:r w:rsidRPr="00BB66A8">
        <w:rPr>
          <w:rFonts w:ascii="Times New Roman" w:hAnsi="Times New Roman" w:cs="Times New Roman"/>
          <w:sz w:val="18"/>
          <w:szCs w:val="18"/>
          <w:vertAlign w:val="superscript"/>
        </w:rPr>
        <w:t xml:space="preserve">1 </w:t>
      </w:r>
      <w:r w:rsidR="00080770" w:rsidRPr="00BB66A8">
        <w:rPr>
          <w:rFonts w:ascii="Times New Roman" w:hAnsi="Times New Roman" w:cs="Times New Roman"/>
          <w:sz w:val="18"/>
          <w:szCs w:val="18"/>
          <w:lang w:eastAsia="tr-TR"/>
        </w:rPr>
        <w:t xml:space="preserve">Department of Pharmacy – Pharmaceutical Sciences, University of Bari Aldo Moro, Orabona St. 4, 70125 </w:t>
      </w:r>
      <w:r w:rsidRPr="00BB66A8">
        <w:rPr>
          <w:rFonts w:ascii="Times New Roman" w:hAnsi="Times New Roman" w:cs="Times New Roman"/>
          <w:sz w:val="18"/>
          <w:szCs w:val="18"/>
        </w:rPr>
        <w:t>- Bari, Ital</w:t>
      </w:r>
      <w:r w:rsidR="00080770" w:rsidRPr="00BB66A8">
        <w:rPr>
          <w:rFonts w:ascii="Times New Roman" w:hAnsi="Times New Roman" w:cs="Times New Roman"/>
          <w:sz w:val="18"/>
          <w:szCs w:val="18"/>
        </w:rPr>
        <w:t>y</w:t>
      </w:r>
      <w:r w:rsidRPr="00BB66A8">
        <w:rPr>
          <w:rFonts w:ascii="Times New Roman" w:hAnsi="Times New Roman" w:cs="Times New Roman"/>
          <w:sz w:val="18"/>
          <w:szCs w:val="18"/>
        </w:rPr>
        <w:t>.</w:t>
      </w:r>
    </w:p>
    <w:p w14:paraId="3F666C35" w14:textId="6D77EECE" w:rsidR="00523922" w:rsidRPr="00BB66A8" w:rsidRDefault="00D35BB2" w:rsidP="00080770">
      <w:pPr>
        <w:jc w:val="center"/>
        <w:rPr>
          <w:rFonts w:ascii="Times New Roman" w:hAnsi="Times New Roman" w:cs="Times New Roman"/>
          <w:sz w:val="20"/>
          <w:szCs w:val="20"/>
        </w:rPr>
      </w:pPr>
      <w:r>
        <w:rPr>
          <w:rFonts w:ascii="Times New Roman" w:hAnsi="Times New Roman" w:cs="Times New Roman"/>
          <w:sz w:val="18"/>
          <w:szCs w:val="18"/>
          <w:vertAlign w:val="superscript"/>
        </w:rPr>
        <w:t>2</w:t>
      </w:r>
      <w:r w:rsidR="00944C5F" w:rsidRPr="00BB66A8">
        <w:rPr>
          <w:rFonts w:ascii="Times New Roman" w:hAnsi="Times New Roman" w:cs="Times New Roman"/>
          <w:sz w:val="18"/>
          <w:szCs w:val="18"/>
          <w:vertAlign w:val="superscript"/>
        </w:rPr>
        <w:t xml:space="preserve"> </w:t>
      </w:r>
      <w:r w:rsidR="00294226" w:rsidRPr="00BB66A8">
        <w:rPr>
          <w:rFonts w:ascii="Times New Roman" w:hAnsi="Times New Roman" w:cs="Times New Roman"/>
          <w:sz w:val="18"/>
          <w:szCs w:val="18"/>
          <w:vertAlign w:val="superscript"/>
        </w:rPr>
        <w:t xml:space="preserve"> </w:t>
      </w:r>
      <w:r w:rsidR="009D3670" w:rsidRPr="00BB66A8">
        <w:rPr>
          <w:rFonts w:ascii="Times New Roman" w:hAnsi="Times New Roman" w:cs="Times New Roman"/>
          <w:sz w:val="18"/>
          <w:szCs w:val="18"/>
          <w:lang w:eastAsia="tr-TR"/>
        </w:rPr>
        <w:t>Institute of Crystallography-CNR, Amendola St. 122/</w:t>
      </w:r>
      <w:r w:rsidR="009D3670" w:rsidRPr="00BB66A8">
        <w:rPr>
          <w:rFonts w:ascii="Times New Roman" w:hAnsi="Times New Roman" w:cs="Times New Roman"/>
          <w:sz w:val="18"/>
          <w:szCs w:val="18"/>
        </w:rPr>
        <w:t>o</w:t>
      </w:r>
      <w:r w:rsidR="009D3670" w:rsidRPr="00BB66A8">
        <w:rPr>
          <w:rFonts w:ascii="Times New Roman" w:hAnsi="Times New Roman" w:cs="Times New Roman"/>
          <w:sz w:val="18"/>
          <w:szCs w:val="18"/>
          <w:lang w:eastAsia="tr-TR"/>
        </w:rPr>
        <w:t>, 70126 – Bari, Italy</w:t>
      </w:r>
      <w:r w:rsidR="00080770" w:rsidRPr="00BB66A8">
        <w:rPr>
          <w:rFonts w:ascii="Times New Roman" w:hAnsi="Times New Roman" w:cs="Times New Roman"/>
          <w:sz w:val="18"/>
          <w:szCs w:val="18"/>
        </w:rPr>
        <w:t>.</w:t>
      </w:r>
    </w:p>
    <w:p w14:paraId="05E2D516" w14:textId="77777777" w:rsidR="00A2620A" w:rsidRPr="00BB66A8" w:rsidRDefault="00A2620A" w:rsidP="001030ED">
      <w:pPr>
        <w:rPr>
          <w:rFonts w:ascii="Times New Roman" w:hAnsi="Times New Roman" w:cs="Times New Roman"/>
        </w:rPr>
      </w:pPr>
    </w:p>
    <w:p w14:paraId="6A1571D9" w14:textId="77777777" w:rsidR="00A2620A" w:rsidRPr="00BB66A8" w:rsidRDefault="00A2620A" w:rsidP="001030ED">
      <w:pPr>
        <w:rPr>
          <w:rFonts w:ascii="Times New Roman" w:hAnsi="Times New Roman" w:cs="Times New Roman"/>
        </w:rPr>
      </w:pPr>
    </w:p>
    <w:p w14:paraId="53BD8F43" w14:textId="77777777" w:rsidR="00A2620A" w:rsidRPr="00BB66A8" w:rsidRDefault="00A2620A" w:rsidP="001030ED">
      <w:pPr>
        <w:rPr>
          <w:rFonts w:ascii="Times New Roman" w:hAnsi="Times New Roman" w:cs="Times New Roman"/>
        </w:rPr>
      </w:pPr>
    </w:p>
    <w:p w14:paraId="2A2DD9BA" w14:textId="77777777" w:rsidR="00A2620A" w:rsidRPr="00BB66A8" w:rsidRDefault="00A2620A" w:rsidP="001030ED">
      <w:pPr>
        <w:rPr>
          <w:rFonts w:ascii="Times New Roman" w:hAnsi="Times New Roman" w:cs="Times New Roman"/>
        </w:rPr>
      </w:pPr>
    </w:p>
    <w:p w14:paraId="309995E4" w14:textId="2F12F053" w:rsidR="00AA25ED" w:rsidRPr="00BB66A8" w:rsidRDefault="00AA25ED" w:rsidP="008B75FF">
      <w:pPr>
        <w:pStyle w:val="Titolo2"/>
        <w:rPr>
          <w:rFonts w:ascii="Times New Roman" w:hAnsi="Times New Roman" w:cs="Times New Roman"/>
        </w:rPr>
      </w:pPr>
    </w:p>
    <w:p w14:paraId="049A6FA8" w14:textId="5D9187C9" w:rsidR="00847254" w:rsidRDefault="00847254" w:rsidP="00847254">
      <w:pPr>
        <w:rPr>
          <w:rFonts w:ascii="Times New Roman" w:hAnsi="Times New Roman" w:cs="Times New Roman"/>
        </w:rPr>
      </w:pPr>
    </w:p>
    <w:p w14:paraId="3313201C" w14:textId="45CAE329" w:rsidR="00D35BB2" w:rsidRDefault="00D35BB2" w:rsidP="00847254">
      <w:pPr>
        <w:rPr>
          <w:rFonts w:ascii="Times New Roman" w:hAnsi="Times New Roman" w:cs="Times New Roman"/>
        </w:rPr>
      </w:pPr>
    </w:p>
    <w:p w14:paraId="13797330" w14:textId="77777777" w:rsidR="00D35BB2" w:rsidRPr="00BB66A8" w:rsidRDefault="00D35BB2" w:rsidP="00847254">
      <w:pPr>
        <w:rPr>
          <w:rFonts w:ascii="Times New Roman" w:hAnsi="Times New Roman" w:cs="Times New Roman"/>
        </w:rPr>
      </w:pPr>
    </w:p>
    <w:p w14:paraId="29450702" w14:textId="5F5CD06C" w:rsidR="00AA25ED" w:rsidRPr="00BB66A8" w:rsidRDefault="00080770" w:rsidP="008B75FF">
      <w:pPr>
        <w:pStyle w:val="Titolo2"/>
        <w:rPr>
          <w:rFonts w:ascii="Times New Roman" w:hAnsi="Times New Roman" w:cs="Times New Roman"/>
          <w:b w:val="0"/>
          <w:bCs w:val="0"/>
          <w:sz w:val="20"/>
          <w:szCs w:val="20"/>
          <w:lang w:val="it-IT"/>
        </w:rPr>
      </w:pPr>
      <w:r w:rsidRPr="00BB66A8">
        <w:rPr>
          <w:rFonts w:ascii="Times New Roman" w:hAnsi="Times New Roman" w:cs="Times New Roman"/>
          <w:b w:val="0"/>
          <w:bCs w:val="0"/>
          <w:sz w:val="20"/>
          <w:szCs w:val="20"/>
          <w:lang w:val="tr-TR"/>
        </w:rPr>
        <w:t>*Corresponding author</w:t>
      </w:r>
      <w:r w:rsidR="00294226" w:rsidRPr="00BB66A8">
        <w:rPr>
          <w:rFonts w:ascii="Times New Roman" w:hAnsi="Times New Roman" w:cs="Times New Roman"/>
          <w:b w:val="0"/>
          <w:bCs w:val="0"/>
          <w:sz w:val="20"/>
          <w:szCs w:val="20"/>
          <w:lang w:val="tr-TR"/>
        </w:rPr>
        <w:t>s</w:t>
      </w:r>
      <w:r w:rsidRPr="00BB66A8">
        <w:rPr>
          <w:rFonts w:ascii="Times New Roman" w:hAnsi="Times New Roman" w:cs="Times New Roman"/>
          <w:b w:val="0"/>
          <w:bCs w:val="0"/>
          <w:sz w:val="20"/>
          <w:szCs w:val="20"/>
          <w:lang w:val="tr-TR"/>
        </w:rPr>
        <w:t xml:space="preserve">: Prof. Nunzio Denora  e-mail: </w:t>
      </w:r>
      <w:r w:rsidRPr="00821765">
        <w:rPr>
          <w:rFonts w:ascii="Times New Roman" w:hAnsi="Times New Roman" w:cs="Times New Roman"/>
          <w:b w:val="0"/>
          <w:bCs w:val="0"/>
          <w:sz w:val="20"/>
          <w:szCs w:val="20"/>
          <w:lang w:val="tr-TR" w:eastAsia="tr-TR"/>
        </w:rPr>
        <w:t>nunzio.denora@uniba.it</w:t>
      </w:r>
      <w:r w:rsidR="00294226" w:rsidRPr="00BB66A8">
        <w:rPr>
          <w:rStyle w:val="Collegamentoipertestuale"/>
          <w:rFonts w:ascii="Times New Roman" w:hAnsi="Times New Roman" w:cs="Times New Roman"/>
          <w:b w:val="0"/>
          <w:bCs w:val="0"/>
          <w:color w:val="auto"/>
          <w:sz w:val="20"/>
          <w:szCs w:val="20"/>
          <w:u w:val="none"/>
          <w:lang w:val="tr-TR" w:eastAsia="tr-TR"/>
        </w:rPr>
        <w:t>; Prof. Angela Lopedota e-mail:</w:t>
      </w:r>
      <w:r w:rsidR="00294226" w:rsidRPr="00BB66A8">
        <w:rPr>
          <w:rStyle w:val="Collegamentoipertestuale"/>
          <w:rFonts w:ascii="Times New Roman" w:hAnsi="Times New Roman" w:cs="Times New Roman"/>
          <w:b w:val="0"/>
          <w:bCs w:val="0"/>
          <w:color w:val="auto"/>
          <w:sz w:val="20"/>
          <w:szCs w:val="20"/>
          <w:lang w:val="tr-TR" w:eastAsia="tr-TR"/>
        </w:rPr>
        <w:t xml:space="preserve"> </w:t>
      </w:r>
      <w:r w:rsidR="00294226" w:rsidRPr="00BB66A8">
        <w:rPr>
          <w:rStyle w:val="Collegamentoipertestuale"/>
          <w:rFonts w:ascii="Times New Roman" w:hAnsi="Times New Roman" w:cs="Times New Roman"/>
          <w:b w:val="0"/>
          <w:bCs w:val="0"/>
          <w:sz w:val="20"/>
          <w:szCs w:val="20"/>
          <w:lang w:val="tr-TR" w:eastAsia="tr-TR"/>
        </w:rPr>
        <w:t>angelaassunta.lopedota@uniba.it</w:t>
      </w:r>
    </w:p>
    <w:p w14:paraId="07BBC665" w14:textId="49B6D194" w:rsidR="00847254" w:rsidRPr="00BB66A8" w:rsidRDefault="00847254" w:rsidP="00847254">
      <w:pPr>
        <w:rPr>
          <w:rFonts w:ascii="Times New Roman" w:hAnsi="Times New Roman" w:cs="Times New Roman"/>
          <w:lang w:val="it-IT"/>
        </w:rPr>
      </w:pPr>
    </w:p>
    <w:p w14:paraId="05930026" w14:textId="73795C10" w:rsidR="00847254" w:rsidRPr="00BB66A8" w:rsidRDefault="00847254" w:rsidP="00847254">
      <w:pPr>
        <w:rPr>
          <w:rFonts w:ascii="Times New Roman" w:hAnsi="Times New Roman" w:cs="Times New Roman"/>
          <w:lang w:val="it-IT"/>
        </w:rPr>
      </w:pPr>
    </w:p>
    <w:p w14:paraId="11CDBCBD" w14:textId="1CCE59EE" w:rsidR="00847254" w:rsidRPr="00BB66A8" w:rsidRDefault="00847254" w:rsidP="00847254">
      <w:pPr>
        <w:rPr>
          <w:rFonts w:ascii="Times New Roman" w:hAnsi="Times New Roman" w:cs="Times New Roman"/>
          <w:lang w:val="it-IT"/>
        </w:rPr>
      </w:pPr>
    </w:p>
    <w:p w14:paraId="335CCCF0" w14:textId="363DCD09" w:rsidR="00847254" w:rsidRPr="00BB66A8" w:rsidRDefault="00847254" w:rsidP="00847254">
      <w:pPr>
        <w:rPr>
          <w:rFonts w:ascii="Times New Roman" w:hAnsi="Times New Roman" w:cs="Times New Roman"/>
          <w:lang w:val="it-IT"/>
        </w:rPr>
      </w:pPr>
    </w:p>
    <w:p w14:paraId="7BEF9E65" w14:textId="329C7783" w:rsidR="00847254" w:rsidRPr="00BB66A8" w:rsidRDefault="00847254" w:rsidP="00847254">
      <w:pPr>
        <w:rPr>
          <w:rFonts w:ascii="Times New Roman" w:hAnsi="Times New Roman" w:cs="Times New Roman"/>
          <w:lang w:val="it-IT"/>
        </w:rPr>
      </w:pPr>
    </w:p>
    <w:p w14:paraId="37A1A8F1" w14:textId="4FDB02E9" w:rsidR="00847254" w:rsidRPr="00BB66A8" w:rsidRDefault="00847254" w:rsidP="00847254">
      <w:pPr>
        <w:rPr>
          <w:rFonts w:ascii="Times New Roman" w:hAnsi="Times New Roman" w:cs="Times New Roman"/>
          <w:lang w:val="it-IT"/>
        </w:rPr>
      </w:pPr>
    </w:p>
    <w:p w14:paraId="200B8AED" w14:textId="75DD573F" w:rsidR="00847254" w:rsidRPr="00BB66A8" w:rsidRDefault="00847254" w:rsidP="00847254">
      <w:pPr>
        <w:rPr>
          <w:rFonts w:ascii="Times New Roman" w:hAnsi="Times New Roman" w:cs="Times New Roman"/>
          <w:lang w:val="it-IT"/>
        </w:rPr>
      </w:pPr>
    </w:p>
    <w:p w14:paraId="47691215" w14:textId="24E795C2" w:rsidR="00847254" w:rsidRPr="00BB66A8" w:rsidRDefault="00847254" w:rsidP="00847254">
      <w:pPr>
        <w:rPr>
          <w:rFonts w:ascii="Times New Roman" w:hAnsi="Times New Roman" w:cs="Times New Roman"/>
          <w:lang w:val="it-IT"/>
        </w:rPr>
      </w:pPr>
    </w:p>
    <w:p w14:paraId="6368FD0E" w14:textId="4DC0EA29" w:rsidR="00847254" w:rsidRPr="00BB66A8" w:rsidRDefault="00847254" w:rsidP="00847254">
      <w:pPr>
        <w:rPr>
          <w:rFonts w:ascii="Times New Roman" w:hAnsi="Times New Roman" w:cs="Times New Roman"/>
          <w:lang w:val="it-IT"/>
        </w:rPr>
      </w:pPr>
    </w:p>
    <w:p w14:paraId="7CE40C32" w14:textId="53B4CA2E" w:rsidR="00847254" w:rsidRPr="00BB66A8" w:rsidRDefault="00847254" w:rsidP="00847254">
      <w:pPr>
        <w:rPr>
          <w:rFonts w:ascii="Times New Roman" w:hAnsi="Times New Roman" w:cs="Times New Roman"/>
          <w:lang w:val="it-IT"/>
        </w:rPr>
      </w:pPr>
    </w:p>
    <w:p w14:paraId="1150454D" w14:textId="77777777" w:rsidR="00523922" w:rsidRPr="00BB66A8" w:rsidRDefault="00523922" w:rsidP="00847254">
      <w:pPr>
        <w:rPr>
          <w:rFonts w:ascii="Times New Roman" w:hAnsi="Times New Roman" w:cs="Times New Roman"/>
          <w:lang w:val="it-IT"/>
        </w:rPr>
      </w:pPr>
    </w:p>
    <w:p w14:paraId="202CB87C" w14:textId="04203335" w:rsidR="00612278" w:rsidRDefault="00A2620A" w:rsidP="000940C0">
      <w:pPr>
        <w:pStyle w:val="Titolo2"/>
        <w:rPr>
          <w:rFonts w:ascii="Times New Roman" w:hAnsi="Times New Roman" w:cs="Times New Roman"/>
        </w:rPr>
      </w:pPr>
      <w:r w:rsidRPr="00BB66A8">
        <w:rPr>
          <w:rFonts w:ascii="Times New Roman" w:hAnsi="Times New Roman" w:cs="Times New Roman"/>
        </w:rPr>
        <w:lastRenderedPageBreak/>
        <w:t>Abstract</w:t>
      </w:r>
    </w:p>
    <w:p w14:paraId="6EE5FA57" w14:textId="77777777" w:rsidR="000940C0" w:rsidRPr="000940C0" w:rsidRDefault="000940C0" w:rsidP="000940C0"/>
    <w:p w14:paraId="2DB0BCFE" w14:textId="49642E7E" w:rsidR="00820335" w:rsidRPr="000940C0" w:rsidRDefault="00AF5865" w:rsidP="00612278">
      <w:pPr>
        <w:rPr>
          <w:rFonts w:ascii="Times New Roman" w:eastAsiaTheme="majorEastAsia" w:hAnsi="Times New Roman" w:cs="Times New Roman"/>
        </w:rPr>
      </w:pPr>
      <w:r w:rsidRPr="000940C0">
        <w:rPr>
          <w:rFonts w:ascii="Times New Roman" w:eastAsiaTheme="majorEastAsia" w:hAnsi="Times New Roman" w:cs="Times New Roman"/>
        </w:rPr>
        <w:t>The purpose of this study was to combine direct powder extrusion</w:t>
      </w:r>
      <w:r w:rsidR="00820335" w:rsidRPr="000940C0">
        <w:rPr>
          <w:rFonts w:ascii="Times New Roman" w:eastAsiaTheme="majorEastAsia" w:hAnsi="Times New Roman" w:cs="Times New Roman"/>
        </w:rPr>
        <w:t xml:space="preserve"> (DPE) 3D printing </w:t>
      </w:r>
      <w:r w:rsidRPr="000940C0">
        <w:rPr>
          <w:rFonts w:ascii="Times New Roman" w:eastAsiaTheme="majorEastAsia" w:hAnsi="Times New Roman" w:cs="Times New Roman"/>
        </w:rPr>
        <w:t>and fluid bed coating techniques to create a budesonide (BD) loaded solid oral formulation</w:t>
      </w:r>
      <w:r w:rsidR="005610B2" w:rsidRPr="000940C0">
        <w:rPr>
          <w:rFonts w:ascii="Times New Roman" w:eastAsiaTheme="majorEastAsia" w:hAnsi="Times New Roman" w:cs="Times New Roman"/>
        </w:rPr>
        <w:t>s</w:t>
      </w:r>
      <w:r w:rsidRPr="000940C0">
        <w:rPr>
          <w:rFonts w:ascii="Times New Roman" w:eastAsiaTheme="majorEastAsia" w:hAnsi="Times New Roman" w:cs="Times New Roman"/>
        </w:rPr>
        <w:t xml:space="preserve"> for the treatment of eosinophilic colitis (EC) in paediatric patients. The preferred medication for EC treatment is BD, which has drawbacks due to its poor water solubility and low absorption. Additionally, since commercially available medications for EC treatment are created and approved for adult patients, administering them to children sometimes requires </w:t>
      </w:r>
      <w:r w:rsidR="005610B2" w:rsidRPr="000940C0">
        <w:rPr>
          <w:rFonts w:ascii="Times New Roman" w:eastAsiaTheme="majorEastAsia" w:hAnsi="Times New Roman" w:cs="Times New Roman"/>
        </w:rPr>
        <w:t xml:space="preserve">an </w:t>
      </w:r>
      <w:r w:rsidRPr="000940C0">
        <w:rPr>
          <w:rFonts w:ascii="Times New Roman" w:eastAsiaTheme="majorEastAsia" w:hAnsi="Times New Roman" w:cs="Times New Roman"/>
        </w:rPr>
        <w:t>off-label</w:t>
      </w:r>
      <w:r w:rsidR="00820335" w:rsidRPr="000940C0">
        <w:rPr>
          <w:rFonts w:ascii="Times New Roman" w:eastAsiaTheme="majorEastAsia" w:hAnsi="Times New Roman" w:cs="Times New Roman"/>
        </w:rPr>
        <w:t xml:space="preserve"> use</w:t>
      </w:r>
      <w:r w:rsidR="005610B2" w:rsidRPr="000940C0">
        <w:rPr>
          <w:rFonts w:ascii="Times New Roman" w:eastAsiaTheme="majorEastAsia" w:hAnsi="Times New Roman" w:cs="Times New Roman"/>
        </w:rPr>
        <w:t xml:space="preserve"> and an</w:t>
      </w:r>
      <w:r w:rsidRPr="000940C0">
        <w:rPr>
          <w:rFonts w:ascii="Times New Roman" w:eastAsiaTheme="majorEastAsia" w:hAnsi="Times New Roman" w:cs="Times New Roman"/>
        </w:rPr>
        <w:t xml:space="preserve"> impromptu handling, which can result in therapeutic ineffectiveness.</w:t>
      </w:r>
      <w:r w:rsidR="000940C0" w:rsidRPr="000940C0">
        <w:rPr>
          <w:rFonts w:ascii="Times New Roman" w:eastAsiaTheme="majorEastAsia" w:hAnsi="Times New Roman" w:cs="Times New Roman"/>
        </w:rPr>
        <w:t xml:space="preserve"> </w:t>
      </w:r>
      <w:r w:rsidR="00B64623">
        <w:rPr>
          <w:rFonts w:ascii="Times New Roman" w:eastAsiaTheme="majorEastAsia" w:hAnsi="Times New Roman" w:cs="Times New Roman"/>
        </w:rPr>
        <w:t>The</w:t>
      </w:r>
      <w:r w:rsidR="00984FA7">
        <w:rPr>
          <w:rFonts w:ascii="Times New Roman" w:eastAsiaTheme="majorEastAsia" w:hAnsi="Times New Roman" w:cs="Times New Roman"/>
        </w:rPr>
        <w:t xml:space="preserve"> </w:t>
      </w:r>
      <w:r w:rsidR="00820335" w:rsidRPr="000940C0">
        <w:rPr>
          <w:rFonts w:ascii="Times New Roman" w:eastAsiaTheme="majorEastAsia" w:hAnsi="Times New Roman" w:cs="Times New Roman"/>
        </w:rPr>
        <w:t xml:space="preserve">DPE </w:t>
      </w:r>
      <w:r w:rsidR="00B64623">
        <w:rPr>
          <w:rFonts w:ascii="Times New Roman" w:eastAsiaTheme="majorEastAsia" w:hAnsi="Times New Roman" w:cs="Times New Roman"/>
        </w:rPr>
        <w:t xml:space="preserve">3D </w:t>
      </w:r>
      <w:r w:rsidR="00820335" w:rsidRPr="000940C0">
        <w:rPr>
          <w:rFonts w:ascii="Times New Roman" w:eastAsiaTheme="majorEastAsia" w:hAnsi="Times New Roman" w:cs="Times New Roman"/>
        </w:rPr>
        <w:t>approach was investigated to create Mini-Tablets (MTs) to suit the swallowing, palatability, and dose flexibility control requirements needed by paediatric patients. Additionally, DPE</w:t>
      </w:r>
      <w:r w:rsidR="00B64623">
        <w:rPr>
          <w:rFonts w:ascii="Times New Roman" w:eastAsiaTheme="majorEastAsia" w:hAnsi="Times New Roman" w:cs="Times New Roman"/>
        </w:rPr>
        <w:t xml:space="preserve"> 3D</w:t>
      </w:r>
      <w:r w:rsidR="00820335" w:rsidRPr="000940C0">
        <w:rPr>
          <w:rFonts w:ascii="Times New Roman" w:eastAsiaTheme="majorEastAsia" w:hAnsi="Times New Roman" w:cs="Times New Roman"/>
        </w:rPr>
        <w:t xml:space="preserve"> and the inclusion of hydroxypropyl</w:t>
      </w:r>
      <w:r w:rsidR="000940C0" w:rsidRPr="000940C0">
        <w:rPr>
          <w:rFonts w:ascii="Times New Roman" w:eastAsiaTheme="majorEastAsia" w:hAnsi="Times New Roman" w:cs="Times New Roman"/>
        </w:rPr>
        <w:t>-</w:t>
      </w:r>
      <w:r w:rsidR="000940C0" w:rsidRPr="00BB66A8">
        <w:rPr>
          <w:rFonts w:ascii="Times New Roman" w:hAnsi="Times New Roman" w:cs="Times New Roman"/>
        </w:rPr>
        <w:t>β</w:t>
      </w:r>
      <w:r w:rsidR="00820335" w:rsidRPr="000940C0">
        <w:rPr>
          <w:rFonts w:ascii="Times New Roman" w:eastAsiaTheme="majorEastAsia" w:hAnsi="Times New Roman" w:cs="Times New Roman"/>
        </w:rPr>
        <w:t xml:space="preserve">-cyclodextrin in the initial powder mixture allowed for an improvement in the solubility and rate of BD dissolution in aqueous medium. Then, to accomplish a site-specific drug release at the intestinal level, MTs were coated with a layer of Eudragit FS 30D, an enteric polymer responsive at pH&gt;7.0 values. </w:t>
      </w:r>
      <w:r w:rsidR="00820335" w:rsidRPr="00E20C3E">
        <w:rPr>
          <w:rFonts w:ascii="Times New Roman" w:eastAsiaTheme="majorEastAsia" w:hAnsi="Times New Roman" w:cs="Times New Roman"/>
          <w:i/>
        </w:rPr>
        <w:t>In vitro</w:t>
      </w:r>
      <w:r w:rsidR="00820335" w:rsidRPr="000940C0">
        <w:rPr>
          <w:rFonts w:ascii="Times New Roman" w:eastAsiaTheme="majorEastAsia" w:hAnsi="Times New Roman" w:cs="Times New Roman"/>
        </w:rPr>
        <w:t xml:space="preserve"> release experiments showed that film-coated MTs were suitable in terms of size and dose, enabling potential therapeutic customization and targeted delivery of BD to the colon.</w:t>
      </w:r>
    </w:p>
    <w:p w14:paraId="11E3B590" w14:textId="422F830D" w:rsidR="00A2620A" w:rsidRPr="00BB66A8" w:rsidRDefault="00A2620A" w:rsidP="001030ED">
      <w:pPr>
        <w:rPr>
          <w:rFonts w:ascii="Times New Roman" w:hAnsi="Times New Roman" w:cs="Times New Roman"/>
          <w:lang w:val="en-US"/>
        </w:rPr>
      </w:pPr>
    </w:p>
    <w:p w14:paraId="33C361B1" w14:textId="00DBCA04" w:rsidR="002B79A5" w:rsidRPr="00BB66A8" w:rsidRDefault="002B79A5" w:rsidP="001030ED">
      <w:pPr>
        <w:rPr>
          <w:rFonts w:ascii="Times New Roman" w:hAnsi="Times New Roman" w:cs="Times New Roman"/>
          <w:lang w:val="en-US"/>
        </w:rPr>
      </w:pPr>
    </w:p>
    <w:p w14:paraId="0AE1AEDC" w14:textId="0EFDD244" w:rsidR="000E44BE" w:rsidRPr="00BB66A8" w:rsidRDefault="000E44BE" w:rsidP="001030ED">
      <w:pPr>
        <w:rPr>
          <w:rFonts w:ascii="Times New Roman" w:hAnsi="Times New Roman" w:cs="Times New Roman"/>
          <w:lang w:val="en-US"/>
        </w:rPr>
      </w:pPr>
    </w:p>
    <w:p w14:paraId="3A783D5A" w14:textId="31D68232" w:rsidR="000E44BE" w:rsidRPr="00BB66A8" w:rsidRDefault="000E44BE" w:rsidP="001030ED">
      <w:pPr>
        <w:rPr>
          <w:rFonts w:ascii="Times New Roman" w:hAnsi="Times New Roman" w:cs="Times New Roman"/>
          <w:lang w:val="en-US"/>
        </w:rPr>
      </w:pPr>
    </w:p>
    <w:p w14:paraId="0D4D87E4" w14:textId="7262F37E" w:rsidR="000E44BE" w:rsidRPr="00BB66A8" w:rsidRDefault="000E44BE" w:rsidP="001030ED">
      <w:pPr>
        <w:rPr>
          <w:rFonts w:ascii="Times New Roman" w:hAnsi="Times New Roman" w:cs="Times New Roman"/>
          <w:lang w:val="en-US"/>
        </w:rPr>
      </w:pPr>
    </w:p>
    <w:p w14:paraId="5924156B" w14:textId="58569265" w:rsidR="000E44BE" w:rsidRPr="00BB66A8" w:rsidRDefault="000E44BE" w:rsidP="001030ED">
      <w:pPr>
        <w:rPr>
          <w:rFonts w:ascii="Times New Roman" w:hAnsi="Times New Roman" w:cs="Times New Roman"/>
          <w:lang w:val="en-US"/>
        </w:rPr>
      </w:pPr>
    </w:p>
    <w:p w14:paraId="0C3B1572" w14:textId="51B26757" w:rsidR="000E44BE" w:rsidRPr="00BB66A8" w:rsidRDefault="000E44BE" w:rsidP="001030ED">
      <w:pPr>
        <w:rPr>
          <w:rFonts w:ascii="Times New Roman" w:hAnsi="Times New Roman" w:cs="Times New Roman"/>
          <w:lang w:val="en-US"/>
        </w:rPr>
      </w:pPr>
    </w:p>
    <w:p w14:paraId="443365E6" w14:textId="02D8F49C" w:rsidR="000E44BE" w:rsidRPr="00BB66A8" w:rsidRDefault="000E44BE" w:rsidP="001030ED">
      <w:pPr>
        <w:rPr>
          <w:rFonts w:ascii="Times New Roman" w:hAnsi="Times New Roman" w:cs="Times New Roman"/>
          <w:lang w:val="en-US"/>
        </w:rPr>
      </w:pPr>
    </w:p>
    <w:p w14:paraId="582CC628" w14:textId="48BAE34B" w:rsidR="000E44BE" w:rsidRPr="00BB66A8" w:rsidRDefault="000E44BE" w:rsidP="001030ED">
      <w:pPr>
        <w:rPr>
          <w:rFonts w:ascii="Times New Roman" w:hAnsi="Times New Roman" w:cs="Times New Roman"/>
          <w:lang w:val="en-US"/>
        </w:rPr>
      </w:pPr>
    </w:p>
    <w:p w14:paraId="44AEA144" w14:textId="7A6D928E" w:rsidR="000E44BE" w:rsidRPr="00BB66A8" w:rsidRDefault="000E44BE" w:rsidP="001030ED">
      <w:pPr>
        <w:rPr>
          <w:rFonts w:ascii="Times New Roman" w:hAnsi="Times New Roman" w:cs="Times New Roman"/>
          <w:lang w:val="en-US"/>
        </w:rPr>
      </w:pPr>
    </w:p>
    <w:p w14:paraId="589C3E28" w14:textId="7D096602" w:rsidR="000E44BE" w:rsidRPr="00BB66A8" w:rsidRDefault="000E44BE" w:rsidP="001030ED">
      <w:pPr>
        <w:rPr>
          <w:rFonts w:ascii="Times New Roman" w:hAnsi="Times New Roman" w:cs="Times New Roman"/>
          <w:lang w:val="en-US"/>
        </w:rPr>
      </w:pPr>
    </w:p>
    <w:p w14:paraId="6C9B66FD" w14:textId="20CAF950" w:rsidR="000E44BE" w:rsidRPr="00BB66A8" w:rsidRDefault="000E44BE" w:rsidP="001030ED">
      <w:pPr>
        <w:rPr>
          <w:rFonts w:ascii="Times New Roman" w:hAnsi="Times New Roman" w:cs="Times New Roman"/>
          <w:lang w:val="en-US"/>
        </w:rPr>
      </w:pPr>
    </w:p>
    <w:p w14:paraId="1613CDF1" w14:textId="10D042C3" w:rsidR="000E44BE" w:rsidRPr="00BB66A8" w:rsidRDefault="000E44BE" w:rsidP="001030ED">
      <w:pPr>
        <w:rPr>
          <w:rFonts w:ascii="Times New Roman" w:hAnsi="Times New Roman" w:cs="Times New Roman"/>
          <w:lang w:val="en-US"/>
        </w:rPr>
      </w:pPr>
    </w:p>
    <w:p w14:paraId="209DECC3" w14:textId="798B9F2F" w:rsidR="000E44BE" w:rsidRDefault="000E44BE" w:rsidP="001030ED">
      <w:pPr>
        <w:rPr>
          <w:rFonts w:ascii="Times New Roman" w:hAnsi="Times New Roman" w:cs="Times New Roman"/>
          <w:lang w:val="en-US"/>
        </w:rPr>
      </w:pPr>
    </w:p>
    <w:p w14:paraId="7C66D29E" w14:textId="0FAB040B" w:rsidR="009429E4" w:rsidRDefault="009429E4" w:rsidP="001030ED">
      <w:pPr>
        <w:rPr>
          <w:rFonts w:ascii="Times New Roman" w:hAnsi="Times New Roman" w:cs="Times New Roman"/>
          <w:lang w:val="en-US"/>
        </w:rPr>
      </w:pPr>
    </w:p>
    <w:p w14:paraId="2EC6CB3A" w14:textId="1B6F3083" w:rsidR="009429E4" w:rsidRDefault="009429E4" w:rsidP="001030ED">
      <w:pPr>
        <w:rPr>
          <w:rFonts w:ascii="Times New Roman" w:hAnsi="Times New Roman" w:cs="Times New Roman"/>
          <w:lang w:val="en-US"/>
        </w:rPr>
      </w:pPr>
    </w:p>
    <w:p w14:paraId="13A4CD29" w14:textId="345F60E2" w:rsidR="009429E4" w:rsidRDefault="009429E4" w:rsidP="001030ED">
      <w:pPr>
        <w:rPr>
          <w:rFonts w:ascii="Times New Roman" w:hAnsi="Times New Roman" w:cs="Times New Roman"/>
          <w:lang w:val="en-US"/>
        </w:rPr>
      </w:pPr>
    </w:p>
    <w:p w14:paraId="4A14806A" w14:textId="77777777" w:rsidR="009429E4" w:rsidRPr="00BB66A8" w:rsidRDefault="009429E4" w:rsidP="001030ED">
      <w:pPr>
        <w:rPr>
          <w:rFonts w:ascii="Times New Roman" w:hAnsi="Times New Roman" w:cs="Times New Roman"/>
          <w:lang w:val="en-US"/>
        </w:rPr>
      </w:pPr>
    </w:p>
    <w:p w14:paraId="7B1BEE23" w14:textId="280AFE48" w:rsidR="009429E4" w:rsidRDefault="002B79A5" w:rsidP="009429E4">
      <w:pPr>
        <w:pStyle w:val="Titolo2"/>
        <w:rPr>
          <w:rFonts w:ascii="Times New Roman" w:hAnsi="Times New Roman" w:cs="Times New Roman"/>
          <w:b w:val="0"/>
          <w:bCs w:val="0"/>
          <w:sz w:val="22"/>
          <w:szCs w:val="22"/>
          <w:lang w:val="en-US"/>
        </w:rPr>
      </w:pPr>
      <w:r w:rsidRPr="00BB66A8">
        <w:rPr>
          <w:rFonts w:ascii="Times New Roman" w:hAnsi="Times New Roman" w:cs="Times New Roman"/>
          <w:lang w:val="en-US"/>
        </w:rPr>
        <w:t>Keywords</w:t>
      </w:r>
      <w:r w:rsidRPr="00BB66A8">
        <w:rPr>
          <w:rFonts w:ascii="Times New Roman" w:hAnsi="Times New Roman" w:cs="Times New Roman"/>
          <w:b w:val="0"/>
          <w:bCs w:val="0"/>
        </w:rPr>
        <w:t>:</w:t>
      </w:r>
      <w:r w:rsidR="00D02383" w:rsidRPr="00BB66A8">
        <w:rPr>
          <w:rFonts w:ascii="Times New Roman" w:hAnsi="Times New Roman" w:cs="Times New Roman"/>
          <w:b w:val="0"/>
          <w:bCs w:val="0"/>
        </w:rPr>
        <w:t xml:space="preserve"> </w:t>
      </w:r>
      <w:r w:rsidR="00D02383" w:rsidRPr="00BB66A8">
        <w:rPr>
          <w:rFonts w:ascii="Times New Roman" w:hAnsi="Times New Roman" w:cs="Times New Roman"/>
          <w:b w:val="0"/>
          <w:bCs w:val="0"/>
          <w:sz w:val="22"/>
          <w:szCs w:val="22"/>
        </w:rPr>
        <w:t>Paediatric patients; Budesonide</w:t>
      </w:r>
      <w:r w:rsidR="00383BB0" w:rsidRPr="00BB66A8">
        <w:rPr>
          <w:rFonts w:ascii="Times New Roman" w:hAnsi="Times New Roman" w:cs="Times New Roman"/>
          <w:b w:val="0"/>
          <w:bCs w:val="0"/>
          <w:sz w:val="22"/>
          <w:szCs w:val="22"/>
          <w:lang w:val="en-US"/>
        </w:rPr>
        <w:t>; Eosinophilic colitis; Direct Powder Extrusion; 3D Printing; Cyclodextrin</w:t>
      </w:r>
      <w:r w:rsidR="00847254" w:rsidRPr="00BB66A8">
        <w:rPr>
          <w:rFonts w:ascii="Times New Roman" w:hAnsi="Times New Roman" w:cs="Times New Roman"/>
          <w:b w:val="0"/>
          <w:bCs w:val="0"/>
          <w:sz w:val="22"/>
          <w:szCs w:val="22"/>
          <w:lang w:val="en-US"/>
        </w:rPr>
        <w:t>.</w:t>
      </w:r>
    </w:p>
    <w:p w14:paraId="48C9E952" w14:textId="7B57B4D6" w:rsidR="009429E4" w:rsidRDefault="009429E4" w:rsidP="009429E4">
      <w:pPr>
        <w:rPr>
          <w:lang w:val="en-US"/>
        </w:rPr>
      </w:pPr>
    </w:p>
    <w:p w14:paraId="6EC16070" w14:textId="77777777" w:rsidR="00612278" w:rsidRPr="009429E4" w:rsidRDefault="00612278" w:rsidP="009429E4">
      <w:pPr>
        <w:rPr>
          <w:lang w:val="en-US"/>
        </w:rPr>
      </w:pPr>
    </w:p>
    <w:p w14:paraId="67B917B2" w14:textId="77777777" w:rsidR="00A2620A" w:rsidRPr="00BB66A8" w:rsidRDefault="00A2620A" w:rsidP="00811629">
      <w:pPr>
        <w:pStyle w:val="Titolo2"/>
        <w:numPr>
          <w:ilvl w:val="0"/>
          <w:numId w:val="9"/>
        </w:numPr>
        <w:rPr>
          <w:rFonts w:ascii="Times New Roman" w:hAnsi="Times New Roman" w:cs="Times New Roman"/>
        </w:rPr>
      </w:pPr>
      <w:r w:rsidRPr="00BB66A8">
        <w:rPr>
          <w:rFonts w:ascii="Times New Roman" w:hAnsi="Times New Roman" w:cs="Times New Roman"/>
        </w:rPr>
        <w:lastRenderedPageBreak/>
        <w:t>Introduction</w:t>
      </w:r>
    </w:p>
    <w:p w14:paraId="42CF0552" w14:textId="77777777" w:rsidR="00A2620A" w:rsidRPr="00BB66A8" w:rsidRDefault="00A2620A" w:rsidP="000923D4">
      <w:pPr>
        <w:rPr>
          <w:rFonts w:ascii="Times New Roman" w:hAnsi="Times New Roman" w:cs="Times New Roman"/>
        </w:rPr>
      </w:pPr>
    </w:p>
    <w:p w14:paraId="1FC62689" w14:textId="49613FEC" w:rsidR="00212A1D" w:rsidRPr="00BB66A8" w:rsidRDefault="00A2620A" w:rsidP="000923D4">
      <w:pPr>
        <w:rPr>
          <w:rFonts w:ascii="Times New Roman" w:hAnsi="Times New Roman" w:cs="Times New Roman"/>
        </w:rPr>
      </w:pPr>
      <w:r w:rsidRPr="00BB66A8">
        <w:rPr>
          <w:rFonts w:ascii="Times New Roman" w:hAnsi="Times New Roman" w:cs="Times New Roman"/>
        </w:rPr>
        <w:t xml:space="preserve">Eosinophilic colitis (EC) is a rare disease characterized by elevated colonic infiltration of eosinophils in the absence of other causes of eosinophilia </w:t>
      </w:r>
      <w:r w:rsidR="00432BE0" w:rsidRPr="00BB66A8">
        <w:rPr>
          <w:rFonts w:ascii="Times New Roman" w:hAnsi="Times New Roman" w:cs="Times New Roman"/>
          <w:color w:val="000000"/>
        </w:rPr>
        <w:t>(Wang et al., 2021)</w:t>
      </w:r>
      <w:r w:rsidRPr="00BB66A8">
        <w:rPr>
          <w:rFonts w:ascii="Times New Roman" w:hAnsi="Times New Roman" w:cs="Times New Roman"/>
        </w:rPr>
        <w:t>. EC is included in the Gastrointestinal Eosinophilic Diseases (EGID)</w:t>
      </w:r>
      <w:r w:rsidR="00294226" w:rsidRPr="00BB66A8">
        <w:rPr>
          <w:rFonts w:ascii="Times New Roman" w:hAnsi="Times New Roman" w:cs="Times New Roman"/>
        </w:rPr>
        <w:t>,</w:t>
      </w:r>
      <w:r w:rsidRPr="00BB66A8">
        <w:rPr>
          <w:rFonts w:ascii="Times New Roman" w:hAnsi="Times New Roman" w:cs="Times New Roman"/>
        </w:rPr>
        <w:t xml:space="preserve"> first described by Kaijser in 1937</w:t>
      </w:r>
      <w:r w:rsidR="00294226" w:rsidRPr="00BB66A8">
        <w:rPr>
          <w:rFonts w:ascii="Times New Roman" w:hAnsi="Times New Roman" w:cs="Times New Roman"/>
        </w:rPr>
        <w:t>,</w:t>
      </w:r>
      <w:r w:rsidRPr="00BB66A8">
        <w:rPr>
          <w:rFonts w:ascii="Times New Roman" w:hAnsi="Times New Roman" w:cs="Times New Roman"/>
        </w:rPr>
        <w:t xml:space="preserve"> and recognized only in the last decade</w:t>
      </w:r>
      <w:r w:rsidR="00294226" w:rsidRPr="00BB66A8">
        <w:rPr>
          <w:rFonts w:ascii="Times New Roman" w:hAnsi="Times New Roman" w:cs="Times New Roman"/>
        </w:rPr>
        <w:t xml:space="preserve"> as a rare disease</w:t>
      </w:r>
      <w:r w:rsidRPr="00BB66A8">
        <w:rPr>
          <w:rFonts w:ascii="Times New Roman" w:hAnsi="Times New Roman" w:cs="Times New Roman"/>
        </w:rPr>
        <w:t xml:space="preserve"> </w:t>
      </w:r>
      <w:r w:rsidR="00432BE0" w:rsidRPr="00BB66A8">
        <w:rPr>
          <w:rFonts w:ascii="Times New Roman" w:hAnsi="Times New Roman" w:cs="Times New Roman"/>
          <w:color w:val="000000"/>
        </w:rPr>
        <w:t>(Alfadda et al., 2011)</w:t>
      </w:r>
      <w:r w:rsidRPr="00BB66A8">
        <w:rPr>
          <w:rFonts w:ascii="Times New Roman" w:hAnsi="Times New Roman" w:cs="Times New Roman"/>
        </w:rPr>
        <w:t xml:space="preserve">. </w:t>
      </w:r>
      <w:r w:rsidR="000B7C81" w:rsidRPr="00BB66A8">
        <w:rPr>
          <w:rFonts w:ascii="Times New Roman" w:hAnsi="Times New Roman" w:cs="Times New Roman"/>
        </w:rPr>
        <w:t xml:space="preserve">The clinical </w:t>
      </w:r>
      <w:r w:rsidR="00294226" w:rsidRPr="00BB66A8">
        <w:rPr>
          <w:rFonts w:ascii="Times New Roman" w:hAnsi="Times New Roman" w:cs="Times New Roman"/>
        </w:rPr>
        <w:t xml:space="preserve">scenario </w:t>
      </w:r>
      <w:r w:rsidR="000B7C81" w:rsidRPr="00BB66A8">
        <w:rPr>
          <w:rFonts w:ascii="Times New Roman" w:hAnsi="Times New Roman" w:cs="Times New Roman"/>
        </w:rPr>
        <w:t>associated with this condition appears to be closely related to the layer of</w:t>
      </w:r>
      <w:r w:rsidR="00BD02F4" w:rsidRPr="00BB66A8">
        <w:rPr>
          <w:rFonts w:ascii="Times New Roman" w:hAnsi="Times New Roman" w:cs="Times New Roman"/>
        </w:rPr>
        <w:t xml:space="preserve"> the</w:t>
      </w:r>
      <w:r w:rsidR="000B7C81" w:rsidRPr="00BB66A8">
        <w:rPr>
          <w:rFonts w:ascii="Times New Roman" w:hAnsi="Times New Roman" w:cs="Times New Roman"/>
        </w:rPr>
        <w:t xml:space="preserve"> </w:t>
      </w:r>
      <w:r w:rsidR="00BD02F4" w:rsidRPr="00BB66A8">
        <w:rPr>
          <w:rFonts w:ascii="Times New Roman" w:hAnsi="Times New Roman" w:cs="Times New Roman"/>
        </w:rPr>
        <w:t xml:space="preserve">affected </w:t>
      </w:r>
      <w:r w:rsidR="000B7C81" w:rsidRPr="00BB66A8">
        <w:rPr>
          <w:rFonts w:ascii="Times New Roman" w:hAnsi="Times New Roman" w:cs="Times New Roman"/>
        </w:rPr>
        <w:t xml:space="preserve">intestine </w:t>
      </w:r>
      <w:r w:rsidR="00432BE0" w:rsidRPr="00BB66A8">
        <w:rPr>
          <w:rFonts w:ascii="Times New Roman" w:hAnsi="Times New Roman" w:cs="Times New Roman"/>
          <w:color w:val="000000"/>
        </w:rPr>
        <w:t>(Lozinsky and Morais, 2014)</w:t>
      </w:r>
      <w:r w:rsidR="000B7C81" w:rsidRPr="00BB66A8">
        <w:rPr>
          <w:rFonts w:ascii="Times New Roman" w:hAnsi="Times New Roman" w:cs="Times New Roman"/>
        </w:rPr>
        <w:t xml:space="preserve">, leading to abdominal pain, diarrhea, hematochezia, and bloating, while in rarer cases dysphagia, hypoalbuminemia, protein-loss enteropathy, and growth retardation may occur, especially in children and adolescents </w:t>
      </w:r>
      <w:r w:rsidR="00432BE0" w:rsidRPr="00BB66A8">
        <w:rPr>
          <w:rFonts w:ascii="Times New Roman" w:hAnsi="Times New Roman" w:cs="Times New Roman"/>
          <w:color w:val="000000"/>
        </w:rPr>
        <w:t>(Fang et al., 2019)</w:t>
      </w:r>
      <w:r w:rsidRPr="00BB66A8">
        <w:rPr>
          <w:rFonts w:ascii="Times New Roman" w:hAnsi="Times New Roman" w:cs="Times New Roman"/>
        </w:rPr>
        <w:t xml:space="preserve">. The EC etiology is still not entirely clear </w:t>
      </w:r>
      <w:r w:rsidR="00432BE0" w:rsidRPr="00BB66A8">
        <w:rPr>
          <w:rFonts w:ascii="Times New Roman" w:hAnsi="Times New Roman" w:cs="Times New Roman"/>
          <w:color w:val="000000"/>
        </w:rPr>
        <w:t>(Wang et al., 2021)</w:t>
      </w:r>
      <w:r w:rsidRPr="00BB66A8">
        <w:rPr>
          <w:rFonts w:ascii="Times New Roman" w:hAnsi="Times New Roman" w:cs="Times New Roman"/>
        </w:rPr>
        <w:t xml:space="preserve"> and, probably, the noticed increase in the eosinophilic population could depend both on genetic and environmental factors and predisposition to allergic reactions </w:t>
      </w:r>
      <w:r w:rsidR="00432BE0" w:rsidRPr="00BB66A8">
        <w:rPr>
          <w:rFonts w:ascii="Times New Roman" w:hAnsi="Times New Roman" w:cs="Times New Roman"/>
          <w:color w:val="000000"/>
        </w:rPr>
        <w:t>(Impellizzeri et al., 2019)</w:t>
      </w:r>
      <w:r w:rsidRPr="00BB66A8">
        <w:rPr>
          <w:rFonts w:ascii="Times New Roman" w:hAnsi="Times New Roman" w:cs="Times New Roman"/>
        </w:rPr>
        <w:t>. Numerous studies</w:t>
      </w:r>
      <w:r w:rsidR="009C7907">
        <w:rPr>
          <w:rFonts w:ascii="Times New Roman" w:hAnsi="Times New Roman" w:cs="Times New Roman"/>
        </w:rPr>
        <w:t xml:space="preserve"> </w:t>
      </w:r>
      <w:r w:rsidR="00BD02F4" w:rsidRPr="00BB66A8">
        <w:rPr>
          <w:rFonts w:ascii="Times New Roman" w:hAnsi="Times New Roman" w:cs="Times New Roman"/>
        </w:rPr>
        <w:t xml:space="preserve">reported </w:t>
      </w:r>
      <w:r w:rsidRPr="00BB66A8">
        <w:rPr>
          <w:rFonts w:ascii="Times New Roman" w:hAnsi="Times New Roman" w:cs="Times New Roman"/>
        </w:rPr>
        <w:t>that eosinophilic disorders in the colon can involve patients of all age groups, although a high incidence in the paediatric population</w:t>
      </w:r>
      <w:r w:rsidR="00BD02F4" w:rsidRPr="00BB66A8">
        <w:rPr>
          <w:rFonts w:ascii="Times New Roman" w:hAnsi="Times New Roman" w:cs="Times New Roman"/>
        </w:rPr>
        <w:t xml:space="preserve"> has been observed</w:t>
      </w:r>
      <w:r w:rsidRPr="00BB66A8">
        <w:rPr>
          <w:rFonts w:ascii="Times New Roman" w:hAnsi="Times New Roman" w:cs="Times New Roman"/>
        </w:rPr>
        <w:t xml:space="preserve"> </w:t>
      </w:r>
      <w:r w:rsidR="00432BE0" w:rsidRPr="00BB66A8">
        <w:rPr>
          <w:rFonts w:ascii="Times New Roman" w:hAnsi="Times New Roman" w:cs="Times New Roman"/>
          <w:color w:val="000000"/>
        </w:rPr>
        <w:t>(Guajardo et al., 2002; Melton et al., 2011)</w:t>
      </w:r>
      <w:r w:rsidRPr="00BB66A8">
        <w:rPr>
          <w:rFonts w:ascii="Times New Roman" w:hAnsi="Times New Roman" w:cs="Times New Roman"/>
        </w:rPr>
        <w:t xml:space="preserve">. </w:t>
      </w:r>
      <w:r w:rsidR="009C7907">
        <w:rPr>
          <w:rFonts w:ascii="Times New Roman" w:hAnsi="Times New Roman" w:cs="Times New Roman"/>
        </w:rPr>
        <w:t>Specifically though</w:t>
      </w:r>
      <w:r w:rsidRPr="00BB66A8">
        <w:rPr>
          <w:rFonts w:ascii="Times New Roman" w:hAnsi="Times New Roman" w:cs="Times New Roman"/>
        </w:rPr>
        <w:t>, children represent</w:t>
      </w:r>
      <w:r w:rsidR="009C7907">
        <w:rPr>
          <w:rFonts w:ascii="Times New Roman" w:hAnsi="Times New Roman" w:cs="Times New Roman"/>
        </w:rPr>
        <w:t>ing</w:t>
      </w:r>
      <w:r w:rsidRPr="00BB66A8">
        <w:rPr>
          <w:rFonts w:ascii="Times New Roman" w:hAnsi="Times New Roman" w:cs="Times New Roman"/>
        </w:rPr>
        <w:t xml:space="preserve"> a highly vulnerable patient category that requires considerable attention in identifying a specific treatment </w:t>
      </w:r>
      <w:r w:rsidR="00432BE0" w:rsidRPr="00BB66A8">
        <w:rPr>
          <w:rFonts w:ascii="Times New Roman" w:hAnsi="Times New Roman" w:cs="Times New Roman"/>
          <w:color w:val="000000"/>
        </w:rPr>
        <w:t>(Zuccari et al., 2022)</w:t>
      </w:r>
      <w:r w:rsidRPr="00BB66A8">
        <w:rPr>
          <w:rFonts w:ascii="Times New Roman" w:hAnsi="Times New Roman" w:cs="Times New Roman"/>
        </w:rPr>
        <w:t xml:space="preserve">. Indeed, the </w:t>
      </w:r>
      <w:r w:rsidR="00BD02F4" w:rsidRPr="00BB66A8">
        <w:rPr>
          <w:rFonts w:ascii="Times New Roman" w:hAnsi="Times New Roman" w:cs="Times New Roman"/>
        </w:rPr>
        <w:t>paediatric</w:t>
      </w:r>
      <w:r w:rsidRPr="00BB66A8">
        <w:rPr>
          <w:rFonts w:ascii="Times New Roman" w:hAnsi="Times New Roman" w:cs="Times New Roman"/>
        </w:rPr>
        <w:t xml:space="preserve"> </w:t>
      </w:r>
      <w:r w:rsidR="00BD02F4" w:rsidRPr="00BB66A8">
        <w:rPr>
          <w:rFonts w:ascii="Times New Roman" w:hAnsi="Times New Roman" w:cs="Times New Roman"/>
        </w:rPr>
        <w:t xml:space="preserve">age </w:t>
      </w:r>
      <w:r w:rsidRPr="00BB66A8">
        <w:rPr>
          <w:rFonts w:ascii="Times New Roman" w:hAnsi="Times New Roman" w:cs="Times New Roman"/>
        </w:rPr>
        <w:t xml:space="preserve">covers various groups, from </w:t>
      </w:r>
      <w:r w:rsidR="00337E34" w:rsidRPr="00337E34">
        <w:rPr>
          <w:rFonts w:ascii="Times New Roman" w:hAnsi="Times New Roman" w:cs="Times New Roman"/>
        </w:rPr>
        <w:t>newborns</w:t>
      </w:r>
      <w:r w:rsidRPr="00BB66A8">
        <w:rPr>
          <w:rFonts w:ascii="Times New Roman" w:hAnsi="Times New Roman" w:cs="Times New Roman"/>
        </w:rPr>
        <w:t xml:space="preserve"> to adolescents, each characterized by precise physiological conditions</w:t>
      </w:r>
      <w:r w:rsidR="009C09E9" w:rsidRPr="00BB66A8">
        <w:rPr>
          <w:rFonts w:ascii="Times New Roman" w:hAnsi="Times New Roman" w:cs="Times New Roman"/>
        </w:rPr>
        <w:t xml:space="preserve">, </w:t>
      </w:r>
      <w:r w:rsidR="00BD02F4" w:rsidRPr="00BB66A8">
        <w:rPr>
          <w:rFonts w:ascii="Times New Roman" w:hAnsi="Times New Roman" w:cs="Times New Roman"/>
        </w:rPr>
        <w:t>specific needs</w:t>
      </w:r>
      <w:r w:rsidRPr="00BB66A8">
        <w:rPr>
          <w:rFonts w:ascii="Times New Roman" w:hAnsi="Times New Roman" w:cs="Times New Roman"/>
        </w:rPr>
        <w:t xml:space="preserve"> </w:t>
      </w:r>
      <w:r w:rsidR="00C65ED4" w:rsidRPr="00BB66A8">
        <w:rPr>
          <w:rFonts w:ascii="Times New Roman" w:hAnsi="Times New Roman" w:cs="Times New Roman"/>
          <w:noProof/>
        </w:rPr>
        <w:t>(Dimitri et al., 2021; El Aita et al., 2020)</w:t>
      </w:r>
      <w:r w:rsidR="00C65ED4" w:rsidRPr="00BB66A8">
        <w:rPr>
          <w:rFonts w:ascii="Times New Roman" w:hAnsi="Times New Roman" w:cs="Times New Roman"/>
        </w:rPr>
        <w:t xml:space="preserve"> </w:t>
      </w:r>
      <w:r w:rsidRPr="00BB66A8">
        <w:rPr>
          <w:rFonts w:ascii="Times New Roman" w:hAnsi="Times New Roman" w:cs="Times New Roman"/>
        </w:rPr>
        <w:t xml:space="preserve">and continuous physical changes that require constant development and adaptation of drug therapies </w:t>
      </w:r>
      <w:r w:rsidR="00432BE0" w:rsidRPr="00BB66A8">
        <w:rPr>
          <w:rFonts w:ascii="Times New Roman" w:hAnsi="Times New Roman" w:cs="Times New Roman"/>
          <w:color w:val="000000"/>
        </w:rPr>
        <w:t>(Kearns et al., 2003)</w:t>
      </w:r>
      <w:r w:rsidRPr="00BB66A8">
        <w:rPr>
          <w:rFonts w:ascii="Times New Roman" w:hAnsi="Times New Roman" w:cs="Times New Roman"/>
        </w:rPr>
        <w:t xml:space="preserve">. To date, there is no standard optimal treatment for EC </w:t>
      </w:r>
      <w:r w:rsidR="00432BE0" w:rsidRPr="00BB66A8">
        <w:rPr>
          <w:rFonts w:ascii="Times New Roman" w:hAnsi="Times New Roman" w:cs="Times New Roman"/>
          <w:color w:val="000000"/>
        </w:rPr>
        <w:t>(Wang et al., 2021)</w:t>
      </w:r>
      <w:r w:rsidRPr="00BB66A8">
        <w:rPr>
          <w:rFonts w:ascii="Times New Roman" w:hAnsi="Times New Roman" w:cs="Times New Roman"/>
        </w:rPr>
        <w:t xml:space="preserve">. Initially, dietary therapies, such as </w:t>
      </w:r>
      <w:r w:rsidR="00241C9C" w:rsidRPr="00BB66A8">
        <w:rPr>
          <w:rFonts w:ascii="Times New Roman" w:hAnsi="Times New Roman" w:cs="Times New Roman"/>
        </w:rPr>
        <w:t xml:space="preserve">the </w:t>
      </w:r>
      <w:r w:rsidRPr="00BB66A8">
        <w:rPr>
          <w:rFonts w:ascii="Times New Roman" w:hAnsi="Times New Roman" w:cs="Times New Roman"/>
        </w:rPr>
        <w:t>elimination diet or amino acid diet, are tried, which may have variable success depend</w:t>
      </w:r>
      <w:r w:rsidR="009C09E9" w:rsidRPr="00BB66A8">
        <w:rPr>
          <w:rFonts w:ascii="Times New Roman" w:hAnsi="Times New Roman" w:cs="Times New Roman"/>
        </w:rPr>
        <w:t>ing</w:t>
      </w:r>
      <w:r w:rsidRPr="00BB66A8">
        <w:rPr>
          <w:rFonts w:ascii="Times New Roman" w:hAnsi="Times New Roman" w:cs="Times New Roman"/>
        </w:rPr>
        <w:t xml:space="preserve"> on the severity of the disease </w:t>
      </w:r>
      <w:r w:rsidR="00432BE0" w:rsidRPr="00BB66A8">
        <w:rPr>
          <w:rFonts w:ascii="Times New Roman" w:hAnsi="Times New Roman" w:cs="Times New Roman"/>
          <w:color w:val="000000"/>
        </w:rPr>
        <w:t>(Lucendo et al., 2015)</w:t>
      </w:r>
      <w:r w:rsidRPr="00BB66A8">
        <w:rPr>
          <w:rFonts w:ascii="Times New Roman" w:hAnsi="Times New Roman" w:cs="Times New Roman"/>
        </w:rPr>
        <w:t xml:space="preserve">. In cases of dietary treatment failure or extremely complicated and severe EC, corticosteroids are the </w:t>
      </w:r>
      <w:r w:rsidR="00007DC3" w:rsidRPr="00BB66A8">
        <w:rPr>
          <w:rFonts w:ascii="Times New Roman" w:hAnsi="Times New Roman" w:cs="Times New Roman"/>
        </w:rPr>
        <w:t>first-choice</w:t>
      </w:r>
      <w:r w:rsidRPr="00BB66A8">
        <w:rPr>
          <w:rFonts w:ascii="Times New Roman" w:hAnsi="Times New Roman" w:cs="Times New Roman"/>
        </w:rPr>
        <w:t xml:space="preserve"> therapy </w:t>
      </w:r>
      <w:r w:rsidR="00432BE0" w:rsidRPr="00BB66A8">
        <w:rPr>
          <w:rFonts w:ascii="Times New Roman" w:hAnsi="Times New Roman" w:cs="Times New Roman"/>
          <w:color w:val="000000"/>
        </w:rPr>
        <w:t>(Licari et al., 2019)</w:t>
      </w:r>
      <w:r w:rsidRPr="00BB66A8">
        <w:rPr>
          <w:rFonts w:ascii="Times New Roman" w:hAnsi="Times New Roman" w:cs="Times New Roman"/>
        </w:rPr>
        <w:t xml:space="preserve">, </w:t>
      </w:r>
      <w:r w:rsidR="00CC5565" w:rsidRPr="00BB66A8">
        <w:rPr>
          <w:rFonts w:ascii="Times New Roman" w:hAnsi="Times New Roman" w:cs="Times New Roman"/>
        </w:rPr>
        <w:t>despite having</w:t>
      </w:r>
      <w:r w:rsidRPr="00BB66A8">
        <w:rPr>
          <w:rFonts w:ascii="Times New Roman" w:hAnsi="Times New Roman" w:cs="Times New Roman"/>
        </w:rPr>
        <w:t xml:space="preserve"> numerous systemic adverse effects after oral absorption </w:t>
      </w:r>
      <w:r w:rsidR="00432BE0" w:rsidRPr="00BB66A8">
        <w:rPr>
          <w:rFonts w:ascii="Times New Roman" w:hAnsi="Times New Roman" w:cs="Times New Roman"/>
          <w:color w:val="000000"/>
        </w:rPr>
        <w:t>(Magro et al., 2020)</w:t>
      </w:r>
      <w:r w:rsidRPr="00BB66A8">
        <w:rPr>
          <w:rFonts w:ascii="Times New Roman" w:hAnsi="Times New Roman" w:cs="Times New Roman"/>
        </w:rPr>
        <w:t xml:space="preserve">. Budesonide (BD), a potent second-generation glucocorticoid, </w:t>
      </w:r>
      <w:r w:rsidR="00B72031" w:rsidRPr="00BB66A8">
        <w:rPr>
          <w:rFonts w:ascii="Times New Roman" w:hAnsi="Times New Roman" w:cs="Times New Roman"/>
        </w:rPr>
        <w:t>overcome</w:t>
      </w:r>
      <w:r w:rsidR="00B72031">
        <w:rPr>
          <w:rFonts w:ascii="Times New Roman" w:hAnsi="Times New Roman" w:cs="Times New Roman"/>
        </w:rPr>
        <w:t>s</w:t>
      </w:r>
      <w:r w:rsidRPr="00BB66A8">
        <w:rPr>
          <w:rFonts w:ascii="Times New Roman" w:hAnsi="Times New Roman" w:cs="Times New Roman"/>
        </w:rPr>
        <w:t xml:space="preserve"> the limitations associated with its class due to extensive first-pass hepatic metabolism, which reduced its systemic toxicity </w:t>
      </w:r>
      <w:r w:rsidR="00432BE0" w:rsidRPr="00BB66A8">
        <w:rPr>
          <w:rFonts w:ascii="Times New Roman" w:hAnsi="Times New Roman" w:cs="Times New Roman"/>
          <w:color w:val="000000"/>
        </w:rPr>
        <w:t>(Herbada et al., 2021)</w:t>
      </w:r>
      <w:r w:rsidRPr="00BB66A8">
        <w:rPr>
          <w:rFonts w:ascii="Times New Roman" w:hAnsi="Times New Roman" w:cs="Times New Roman"/>
        </w:rPr>
        <w:t xml:space="preserve">. Good local anti-inflammatory action and reduced systemic </w:t>
      </w:r>
      <w:r w:rsidR="000623CC" w:rsidRPr="00BB66A8">
        <w:rPr>
          <w:rFonts w:ascii="Times New Roman" w:hAnsi="Times New Roman" w:cs="Times New Roman"/>
        </w:rPr>
        <w:t xml:space="preserve">side effects </w:t>
      </w:r>
      <w:r w:rsidRPr="00BB66A8">
        <w:rPr>
          <w:rFonts w:ascii="Times New Roman" w:hAnsi="Times New Roman" w:cs="Times New Roman"/>
        </w:rPr>
        <w:t xml:space="preserve">make BD the drug of choice for the treatment of inflammatory bowel </w:t>
      </w:r>
      <w:r w:rsidR="000623CC" w:rsidRPr="00BB66A8">
        <w:rPr>
          <w:rFonts w:ascii="Times New Roman" w:hAnsi="Times New Roman" w:cs="Times New Roman"/>
        </w:rPr>
        <w:t xml:space="preserve">diseases </w:t>
      </w:r>
      <w:r w:rsidR="00432BE0" w:rsidRPr="00BB66A8">
        <w:rPr>
          <w:rFonts w:ascii="Times New Roman" w:hAnsi="Times New Roman" w:cs="Times New Roman"/>
          <w:color w:val="000000"/>
        </w:rPr>
        <w:t>(Yan et al., 2019)</w:t>
      </w:r>
      <w:r w:rsidRPr="00BB66A8">
        <w:rPr>
          <w:rFonts w:ascii="Times New Roman" w:hAnsi="Times New Roman" w:cs="Times New Roman"/>
        </w:rPr>
        <w:t xml:space="preserve">. </w:t>
      </w:r>
      <w:r w:rsidR="00437B3F" w:rsidRPr="00437B3F">
        <w:rPr>
          <w:rFonts w:ascii="Times New Roman" w:hAnsi="Times New Roman" w:cs="Times New Roman"/>
        </w:rPr>
        <w:t xml:space="preserve">However, it is classified as a </w:t>
      </w:r>
      <w:r w:rsidR="00437B3F">
        <w:rPr>
          <w:rFonts w:ascii="Times New Roman" w:hAnsi="Times New Roman" w:cs="Times New Roman"/>
        </w:rPr>
        <w:t>c</w:t>
      </w:r>
      <w:r w:rsidR="00437B3F" w:rsidRPr="00437B3F">
        <w:rPr>
          <w:rFonts w:ascii="Times New Roman" w:hAnsi="Times New Roman" w:cs="Times New Roman"/>
        </w:rPr>
        <w:t>lass II drug in the Biopharmaceutical Classification System (BCS), being described by specific physico-chemical characteristics, such as poor solubility in an aqueous environment, which limit its use</w:t>
      </w:r>
      <w:r w:rsidRPr="00BB66A8">
        <w:rPr>
          <w:rFonts w:ascii="Times New Roman" w:hAnsi="Times New Roman" w:cs="Times New Roman"/>
        </w:rPr>
        <w:t xml:space="preserve"> </w:t>
      </w:r>
      <w:r w:rsidR="00432BE0" w:rsidRPr="00BB66A8">
        <w:rPr>
          <w:rFonts w:ascii="Times New Roman" w:hAnsi="Times New Roman" w:cs="Times New Roman"/>
          <w:color w:val="000000"/>
        </w:rPr>
        <w:t>(Laquintana et al., 2019)</w:t>
      </w:r>
      <w:r w:rsidRPr="00BB66A8">
        <w:rPr>
          <w:rFonts w:ascii="Times New Roman" w:hAnsi="Times New Roman" w:cs="Times New Roman"/>
        </w:rPr>
        <w:t xml:space="preserve">. In addition, </w:t>
      </w:r>
      <w:r w:rsidR="009C7907">
        <w:rPr>
          <w:rFonts w:ascii="Times New Roman" w:hAnsi="Times New Roman" w:cs="Times New Roman"/>
        </w:rPr>
        <w:t>the</w:t>
      </w:r>
      <w:r w:rsidRPr="00BB66A8">
        <w:rPr>
          <w:rFonts w:ascii="Times New Roman" w:hAnsi="Times New Roman" w:cs="Times New Roman"/>
        </w:rPr>
        <w:t xml:space="preserve"> action</w:t>
      </w:r>
      <w:r w:rsidR="009C7907">
        <w:rPr>
          <w:rFonts w:ascii="Times New Roman" w:hAnsi="Times New Roman" w:cs="Times New Roman"/>
        </w:rPr>
        <w:t xml:space="preserve"> of BD</w:t>
      </w:r>
      <w:r w:rsidRPr="00BB66A8">
        <w:rPr>
          <w:rFonts w:ascii="Times New Roman" w:hAnsi="Times New Roman" w:cs="Times New Roman"/>
        </w:rPr>
        <w:t xml:space="preserve"> in the distal intestine</w:t>
      </w:r>
      <w:r w:rsidR="000623CC" w:rsidRPr="00BB66A8">
        <w:rPr>
          <w:rFonts w:ascii="Times New Roman" w:hAnsi="Times New Roman" w:cs="Times New Roman"/>
        </w:rPr>
        <w:t>,</w:t>
      </w:r>
      <w:r w:rsidRPr="00BB66A8">
        <w:rPr>
          <w:rFonts w:ascii="Times New Roman" w:hAnsi="Times New Roman" w:cs="Times New Roman"/>
        </w:rPr>
        <w:t xml:space="preserve"> and especially in the colon</w:t>
      </w:r>
      <w:r w:rsidR="000623CC" w:rsidRPr="00BB66A8">
        <w:rPr>
          <w:rFonts w:ascii="Times New Roman" w:hAnsi="Times New Roman" w:cs="Times New Roman"/>
        </w:rPr>
        <w:t>,</w:t>
      </w:r>
      <w:r w:rsidRPr="00BB66A8">
        <w:rPr>
          <w:rFonts w:ascii="Times New Roman" w:hAnsi="Times New Roman" w:cs="Times New Roman"/>
        </w:rPr>
        <w:t xml:space="preserve"> is limited by the small amount of drug that reaches these areas (about 30 % of the </w:t>
      </w:r>
      <w:r w:rsidR="000623CC" w:rsidRPr="00BB66A8">
        <w:rPr>
          <w:rFonts w:ascii="Times New Roman" w:hAnsi="Times New Roman" w:cs="Times New Roman"/>
        </w:rPr>
        <w:t xml:space="preserve">administered </w:t>
      </w:r>
      <w:r w:rsidRPr="00BB66A8">
        <w:rPr>
          <w:rFonts w:ascii="Times New Roman" w:hAnsi="Times New Roman" w:cs="Times New Roman"/>
        </w:rPr>
        <w:t>dose),</w:t>
      </w:r>
      <w:r w:rsidR="009C7907">
        <w:rPr>
          <w:rFonts w:ascii="Times New Roman" w:hAnsi="Times New Roman" w:cs="Times New Roman"/>
        </w:rPr>
        <w:t xml:space="preserve"> due to the</w:t>
      </w:r>
      <w:r w:rsidRPr="00BB66A8">
        <w:rPr>
          <w:rFonts w:ascii="Times New Roman" w:hAnsi="Times New Roman" w:cs="Times New Roman"/>
        </w:rPr>
        <w:t xml:space="preserve"> high absor</w:t>
      </w:r>
      <w:r w:rsidR="009C7907">
        <w:rPr>
          <w:rFonts w:ascii="Times New Roman" w:hAnsi="Times New Roman" w:cs="Times New Roman"/>
        </w:rPr>
        <w:t xml:space="preserve">ption that occurs as early as the initial tracts of the small intestine </w:t>
      </w:r>
      <w:r w:rsidR="00432BE0" w:rsidRPr="00BB66A8">
        <w:rPr>
          <w:rFonts w:ascii="Times New Roman" w:hAnsi="Times New Roman" w:cs="Times New Roman"/>
          <w:color w:val="000000"/>
        </w:rPr>
        <w:t>(Herbada et al., 2021)</w:t>
      </w:r>
      <w:r w:rsidRPr="00BB66A8">
        <w:rPr>
          <w:rFonts w:ascii="Times New Roman" w:hAnsi="Times New Roman" w:cs="Times New Roman"/>
        </w:rPr>
        <w:t>. Therefore, for the treatment of EC,</w:t>
      </w:r>
      <w:r w:rsidR="00420BA6">
        <w:rPr>
          <w:rFonts w:ascii="Times New Roman" w:hAnsi="Times New Roman" w:cs="Times New Roman"/>
        </w:rPr>
        <w:t xml:space="preserve"> </w:t>
      </w:r>
      <w:r w:rsidRPr="00BB66A8">
        <w:rPr>
          <w:rFonts w:ascii="Times New Roman" w:hAnsi="Times New Roman" w:cs="Times New Roman"/>
        </w:rPr>
        <w:t>a</w:t>
      </w:r>
      <w:r w:rsidR="00420BA6">
        <w:rPr>
          <w:rFonts w:ascii="Times New Roman" w:hAnsi="Times New Roman" w:cs="Times New Roman"/>
        </w:rPr>
        <w:t>n oral</w:t>
      </w:r>
      <w:r w:rsidRPr="00BB66A8">
        <w:rPr>
          <w:rFonts w:ascii="Times New Roman" w:hAnsi="Times New Roman" w:cs="Times New Roman"/>
        </w:rPr>
        <w:t xml:space="preserve"> BD-based</w:t>
      </w:r>
      <w:r w:rsidR="00C45ED0" w:rsidRPr="00BB66A8">
        <w:rPr>
          <w:rFonts w:ascii="Times New Roman" w:hAnsi="Times New Roman" w:cs="Times New Roman"/>
        </w:rPr>
        <w:t xml:space="preserve"> </w:t>
      </w:r>
      <w:r w:rsidRPr="00BB66A8">
        <w:rPr>
          <w:rFonts w:ascii="Times New Roman" w:hAnsi="Times New Roman" w:cs="Times New Roman"/>
        </w:rPr>
        <w:t xml:space="preserve">formulation that </w:t>
      </w:r>
      <w:r w:rsidR="00420BA6">
        <w:rPr>
          <w:rFonts w:ascii="Times New Roman" w:hAnsi="Times New Roman" w:cs="Times New Roman"/>
        </w:rPr>
        <w:t xml:space="preserve">could provide a </w:t>
      </w:r>
      <w:r w:rsidR="00562C7D" w:rsidRPr="00BB66A8">
        <w:rPr>
          <w:rFonts w:ascii="Times New Roman" w:hAnsi="Times New Roman" w:cs="Times New Roman"/>
        </w:rPr>
        <w:t>selective</w:t>
      </w:r>
      <w:r w:rsidRPr="00BB66A8">
        <w:rPr>
          <w:rFonts w:ascii="Times New Roman" w:hAnsi="Times New Roman" w:cs="Times New Roman"/>
        </w:rPr>
        <w:t xml:space="preserve"> and sustained colonic release and improve the </w:t>
      </w:r>
      <w:r w:rsidR="00C45ED0" w:rsidRPr="00BB66A8">
        <w:rPr>
          <w:rFonts w:ascii="Times New Roman" w:hAnsi="Times New Roman" w:cs="Times New Roman"/>
        </w:rPr>
        <w:t>physico-</w:t>
      </w:r>
      <w:r w:rsidRPr="00BB66A8">
        <w:rPr>
          <w:rFonts w:ascii="Times New Roman" w:hAnsi="Times New Roman" w:cs="Times New Roman"/>
        </w:rPr>
        <w:t>chemical</w:t>
      </w:r>
      <w:r w:rsidR="00C45ED0" w:rsidRPr="00BB66A8">
        <w:rPr>
          <w:rFonts w:ascii="Times New Roman" w:hAnsi="Times New Roman" w:cs="Times New Roman"/>
        </w:rPr>
        <w:t xml:space="preserve"> properties </w:t>
      </w:r>
      <w:r w:rsidRPr="00BB66A8">
        <w:rPr>
          <w:rFonts w:ascii="Times New Roman" w:hAnsi="Times New Roman" w:cs="Times New Roman"/>
        </w:rPr>
        <w:t xml:space="preserve">of the </w:t>
      </w:r>
      <w:r w:rsidR="00C45ED0" w:rsidRPr="00BB66A8">
        <w:rPr>
          <w:rFonts w:ascii="Times New Roman" w:hAnsi="Times New Roman" w:cs="Times New Roman"/>
        </w:rPr>
        <w:t xml:space="preserve">loaded </w:t>
      </w:r>
      <w:r w:rsidRPr="00BB66A8">
        <w:rPr>
          <w:rFonts w:ascii="Times New Roman" w:hAnsi="Times New Roman" w:cs="Times New Roman"/>
        </w:rPr>
        <w:t>drug</w:t>
      </w:r>
      <w:r w:rsidR="00420BA6">
        <w:rPr>
          <w:rFonts w:ascii="Times New Roman" w:hAnsi="Times New Roman" w:cs="Times New Roman"/>
        </w:rPr>
        <w:t xml:space="preserve"> would be required</w:t>
      </w:r>
      <w:r w:rsidRPr="00BB66A8">
        <w:rPr>
          <w:rFonts w:ascii="Times New Roman" w:hAnsi="Times New Roman" w:cs="Times New Roman"/>
        </w:rPr>
        <w:t xml:space="preserve">. Several oral BD </w:t>
      </w:r>
      <w:r w:rsidR="00325ADC" w:rsidRPr="00BB66A8">
        <w:rPr>
          <w:rFonts w:ascii="Times New Roman" w:hAnsi="Times New Roman" w:cs="Times New Roman"/>
        </w:rPr>
        <w:t>medicines</w:t>
      </w:r>
      <w:r w:rsidRPr="00BB66A8">
        <w:rPr>
          <w:rFonts w:ascii="Times New Roman" w:hAnsi="Times New Roman" w:cs="Times New Roman"/>
        </w:rPr>
        <w:t xml:space="preserve">, such as tablets and capsules, are commercially available </w:t>
      </w:r>
      <w:r w:rsidR="00432BE0" w:rsidRPr="00BB66A8">
        <w:rPr>
          <w:rFonts w:ascii="Times New Roman" w:hAnsi="Times New Roman" w:cs="Times New Roman"/>
          <w:color w:val="000000"/>
        </w:rPr>
        <w:t>(Gareb et al., 2019)</w:t>
      </w:r>
      <w:r w:rsidRPr="00BB66A8">
        <w:rPr>
          <w:rFonts w:ascii="Times New Roman" w:hAnsi="Times New Roman" w:cs="Times New Roman"/>
        </w:rPr>
        <w:t xml:space="preserve">, which exploit different approaches to ensure site-specific </w:t>
      </w:r>
      <w:r w:rsidR="00C45ED0" w:rsidRPr="00BB66A8">
        <w:rPr>
          <w:rFonts w:ascii="Times New Roman" w:hAnsi="Times New Roman" w:cs="Times New Roman"/>
        </w:rPr>
        <w:t xml:space="preserve">colon </w:t>
      </w:r>
      <w:r w:rsidR="00121C86" w:rsidRPr="00BB66A8">
        <w:rPr>
          <w:rFonts w:ascii="Times New Roman" w:hAnsi="Times New Roman" w:cs="Times New Roman"/>
        </w:rPr>
        <w:t>release,</w:t>
      </w:r>
      <w:r w:rsidRPr="00BB66A8">
        <w:rPr>
          <w:rFonts w:ascii="Times New Roman" w:hAnsi="Times New Roman" w:cs="Times New Roman"/>
        </w:rPr>
        <w:t xml:space="preserve"> </w:t>
      </w:r>
      <w:r w:rsidR="00420BA6">
        <w:rPr>
          <w:rFonts w:ascii="Times New Roman" w:hAnsi="Times New Roman" w:cs="Times New Roman"/>
        </w:rPr>
        <w:t xml:space="preserve">using for example </w:t>
      </w:r>
      <w:r w:rsidRPr="00BB66A8">
        <w:rPr>
          <w:rFonts w:ascii="Times New Roman" w:hAnsi="Times New Roman" w:cs="Times New Roman"/>
        </w:rPr>
        <w:t xml:space="preserve">pH, </w:t>
      </w:r>
      <w:r w:rsidR="0030261C">
        <w:rPr>
          <w:rFonts w:ascii="Times New Roman" w:hAnsi="Times New Roman" w:cs="Times New Roman"/>
        </w:rPr>
        <w:t xml:space="preserve">and </w:t>
      </w:r>
      <w:r w:rsidRPr="00BB66A8">
        <w:rPr>
          <w:rFonts w:ascii="Times New Roman" w:hAnsi="Times New Roman" w:cs="Times New Roman"/>
        </w:rPr>
        <w:t>time</w:t>
      </w:r>
      <w:r w:rsidR="0030261C">
        <w:rPr>
          <w:rFonts w:ascii="Times New Roman" w:hAnsi="Times New Roman" w:cs="Times New Roman"/>
        </w:rPr>
        <w:t xml:space="preserve"> </w:t>
      </w:r>
      <w:r w:rsidRPr="00BB66A8">
        <w:rPr>
          <w:rFonts w:ascii="Times New Roman" w:hAnsi="Times New Roman" w:cs="Times New Roman"/>
        </w:rPr>
        <w:t xml:space="preserve">sensitive polymers </w:t>
      </w:r>
      <w:r w:rsidR="00432BE0" w:rsidRPr="00BB66A8">
        <w:rPr>
          <w:rFonts w:ascii="Times New Roman" w:hAnsi="Times New Roman" w:cs="Times New Roman"/>
          <w:color w:val="000000"/>
        </w:rPr>
        <w:t>(Moghimipour et al., 2018)</w:t>
      </w:r>
      <w:r w:rsidRPr="00BB66A8">
        <w:rPr>
          <w:rFonts w:ascii="Times New Roman" w:hAnsi="Times New Roman" w:cs="Times New Roman"/>
        </w:rPr>
        <w:t xml:space="preserve">. </w:t>
      </w:r>
      <w:r w:rsidR="00420BA6">
        <w:rPr>
          <w:rFonts w:ascii="Times New Roman" w:hAnsi="Times New Roman" w:cs="Times New Roman"/>
        </w:rPr>
        <w:t>However, a</w:t>
      </w:r>
      <w:r w:rsidR="009823DC" w:rsidRPr="00BB66A8">
        <w:rPr>
          <w:rFonts w:ascii="Times New Roman" w:hAnsi="Times New Roman" w:cs="Times New Roman"/>
        </w:rPr>
        <w:t>ll commercial</w:t>
      </w:r>
      <w:r w:rsidRPr="00BB66A8">
        <w:rPr>
          <w:rFonts w:ascii="Times New Roman" w:hAnsi="Times New Roman" w:cs="Times New Roman"/>
        </w:rPr>
        <w:t xml:space="preserve"> formulations are designed for adult</w:t>
      </w:r>
      <w:r w:rsidR="00420BA6">
        <w:rPr>
          <w:rFonts w:ascii="Times New Roman" w:hAnsi="Times New Roman" w:cs="Times New Roman"/>
        </w:rPr>
        <w:t xml:space="preserve"> patients</w:t>
      </w:r>
      <w:r w:rsidRPr="00BB66A8">
        <w:rPr>
          <w:rFonts w:ascii="Times New Roman" w:hAnsi="Times New Roman" w:cs="Times New Roman"/>
        </w:rPr>
        <w:t xml:space="preserve"> and do not satisfy the needs of </w:t>
      </w:r>
      <w:r w:rsidR="00C45ED0" w:rsidRPr="00BB66A8">
        <w:rPr>
          <w:rFonts w:ascii="Times New Roman" w:hAnsi="Times New Roman" w:cs="Times New Roman"/>
        </w:rPr>
        <w:t xml:space="preserve">the </w:t>
      </w:r>
      <w:r w:rsidRPr="00BB66A8">
        <w:rPr>
          <w:rFonts w:ascii="Times New Roman" w:hAnsi="Times New Roman" w:cs="Times New Roman"/>
        </w:rPr>
        <w:t>paediatric population.</w:t>
      </w:r>
      <w:r w:rsidR="008C20CF" w:rsidRPr="00BB66A8">
        <w:rPr>
          <w:rFonts w:ascii="Times New Roman" w:hAnsi="Times New Roman" w:cs="Times New Roman"/>
        </w:rPr>
        <w:t xml:space="preserve"> Hence, to</w:t>
      </w:r>
      <w:r w:rsidR="00420BA6">
        <w:rPr>
          <w:rFonts w:ascii="Times New Roman" w:hAnsi="Times New Roman" w:cs="Times New Roman"/>
        </w:rPr>
        <w:t xml:space="preserve"> ensure</w:t>
      </w:r>
      <w:r w:rsidR="00D050F7" w:rsidRPr="00BB66A8">
        <w:rPr>
          <w:rFonts w:ascii="Times New Roman" w:hAnsi="Times New Roman" w:cs="Times New Roman"/>
        </w:rPr>
        <w:t xml:space="preserve"> </w:t>
      </w:r>
      <w:r w:rsidR="00044F86" w:rsidRPr="00BB66A8">
        <w:rPr>
          <w:rFonts w:ascii="Times New Roman" w:hAnsi="Times New Roman" w:cs="Times New Roman"/>
        </w:rPr>
        <w:t>therapeutic</w:t>
      </w:r>
      <w:r w:rsidR="00420BA6">
        <w:rPr>
          <w:rFonts w:ascii="Times New Roman" w:hAnsi="Times New Roman" w:cs="Times New Roman"/>
        </w:rPr>
        <w:t xml:space="preserve"> care for </w:t>
      </w:r>
      <w:r w:rsidR="00044F86" w:rsidRPr="00BB66A8">
        <w:rPr>
          <w:rFonts w:ascii="Times New Roman" w:hAnsi="Times New Roman" w:cs="Times New Roman"/>
        </w:rPr>
        <w:t xml:space="preserve">the paediatric </w:t>
      </w:r>
      <w:r w:rsidR="00420BA6">
        <w:rPr>
          <w:rFonts w:ascii="Times New Roman" w:hAnsi="Times New Roman" w:cs="Times New Roman"/>
        </w:rPr>
        <w:t>patient group,</w:t>
      </w:r>
      <w:r w:rsidR="00044F86" w:rsidRPr="00BB66A8">
        <w:rPr>
          <w:rFonts w:ascii="Times New Roman" w:hAnsi="Times New Roman" w:cs="Times New Roman"/>
        </w:rPr>
        <w:t xml:space="preserve"> many drugs are usually</w:t>
      </w:r>
      <w:r w:rsidR="00420BA6">
        <w:rPr>
          <w:rFonts w:ascii="Times New Roman" w:hAnsi="Times New Roman" w:cs="Times New Roman"/>
        </w:rPr>
        <w:t xml:space="preserve"> used</w:t>
      </w:r>
      <w:r w:rsidR="00044F86" w:rsidRPr="00BB66A8">
        <w:rPr>
          <w:rFonts w:ascii="Times New Roman" w:hAnsi="Times New Roman" w:cs="Times New Roman"/>
        </w:rPr>
        <w:t xml:space="preserve"> “off-label”</w:t>
      </w:r>
      <w:r w:rsidR="00420BA6">
        <w:rPr>
          <w:rFonts w:ascii="Times New Roman" w:hAnsi="Times New Roman" w:cs="Times New Roman"/>
        </w:rPr>
        <w:t>,</w:t>
      </w:r>
      <w:r w:rsidRPr="00BB66A8">
        <w:rPr>
          <w:rFonts w:ascii="Times New Roman" w:hAnsi="Times New Roman" w:cs="Times New Roman"/>
        </w:rPr>
        <w:t xml:space="preserve"> </w:t>
      </w:r>
      <w:r w:rsidR="00044F86" w:rsidRPr="00BB66A8">
        <w:rPr>
          <w:rFonts w:ascii="Times New Roman" w:hAnsi="Times New Roman" w:cs="Times New Roman"/>
        </w:rPr>
        <w:t xml:space="preserve">and </w:t>
      </w:r>
      <w:r w:rsidR="00420BA6" w:rsidRPr="00BB66A8">
        <w:rPr>
          <w:rFonts w:ascii="Times New Roman" w:hAnsi="Times New Roman" w:cs="Times New Roman"/>
        </w:rPr>
        <w:t xml:space="preserve">extemporaneous manipulation </w:t>
      </w:r>
      <w:r w:rsidR="00420BA6">
        <w:rPr>
          <w:rFonts w:ascii="Times New Roman" w:hAnsi="Times New Roman" w:cs="Times New Roman"/>
        </w:rPr>
        <w:t xml:space="preserve">of marketed medicines is often required </w:t>
      </w:r>
      <w:r w:rsidR="00212A1D" w:rsidRPr="00BB66A8">
        <w:rPr>
          <w:rFonts w:ascii="Times New Roman" w:hAnsi="Times New Roman" w:cs="Times New Roman"/>
        </w:rPr>
        <w:t xml:space="preserve">to achieve a </w:t>
      </w:r>
      <w:r w:rsidR="00044F86" w:rsidRPr="00BB66A8">
        <w:rPr>
          <w:rFonts w:ascii="Times New Roman" w:hAnsi="Times New Roman" w:cs="Times New Roman"/>
        </w:rPr>
        <w:t xml:space="preserve">suitable </w:t>
      </w:r>
      <w:r w:rsidR="00212A1D" w:rsidRPr="00BB66A8">
        <w:rPr>
          <w:rFonts w:ascii="Times New Roman" w:hAnsi="Times New Roman" w:cs="Times New Roman"/>
        </w:rPr>
        <w:t>p</w:t>
      </w:r>
      <w:r w:rsidR="00325ADC" w:rsidRPr="00BB66A8">
        <w:rPr>
          <w:rFonts w:ascii="Times New Roman" w:hAnsi="Times New Roman" w:cs="Times New Roman"/>
        </w:rPr>
        <w:t>a</w:t>
      </w:r>
      <w:r w:rsidR="00212A1D" w:rsidRPr="00BB66A8">
        <w:rPr>
          <w:rFonts w:ascii="Times New Roman" w:hAnsi="Times New Roman" w:cs="Times New Roman"/>
        </w:rPr>
        <w:t>ediatric dose</w:t>
      </w:r>
      <w:r w:rsidR="004A064C" w:rsidRPr="00BB66A8">
        <w:rPr>
          <w:rFonts w:ascii="Times New Roman" w:hAnsi="Times New Roman" w:cs="Times New Roman"/>
        </w:rPr>
        <w:t xml:space="preserve"> and/or </w:t>
      </w:r>
      <w:r w:rsidR="00044F86" w:rsidRPr="00BB66A8">
        <w:rPr>
          <w:rFonts w:ascii="Times New Roman" w:hAnsi="Times New Roman" w:cs="Times New Roman"/>
        </w:rPr>
        <w:t xml:space="preserve">to adapt the formulation to the </w:t>
      </w:r>
      <w:r w:rsidR="00725685" w:rsidRPr="00BB66A8">
        <w:rPr>
          <w:rFonts w:ascii="Times New Roman" w:hAnsi="Times New Roman" w:cs="Times New Roman"/>
        </w:rPr>
        <w:t xml:space="preserve">appropriate </w:t>
      </w:r>
      <w:r w:rsidR="00044F86" w:rsidRPr="00BB66A8">
        <w:rPr>
          <w:rFonts w:ascii="Times New Roman" w:hAnsi="Times New Roman" w:cs="Times New Roman"/>
        </w:rPr>
        <w:t>rou</w:t>
      </w:r>
      <w:r w:rsidR="00725685" w:rsidRPr="00BB66A8">
        <w:rPr>
          <w:rFonts w:ascii="Times New Roman" w:hAnsi="Times New Roman" w:cs="Times New Roman"/>
        </w:rPr>
        <w:t xml:space="preserve">te of administration for </w:t>
      </w:r>
      <w:r w:rsidR="00420BA6">
        <w:rPr>
          <w:rFonts w:ascii="Times New Roman" w:hAnsi="Times New Roman" w:cs="Times New Roman"/>
        </w:rPr>
        <w:t>the</w:t>
      </w:r>
      <w:r w:rsidR="00725685" w:rsidRPr="00BB66A8">
        <w:rPr>
          <w:rFonts w:ascii="Times New Roman" w:hAnsi="Times New Roman" w:cs="Times New Roman"/>
        </w:rPr>
        <w:t xml:space="preserve"> specific age group</w:t>
      </w:r>
      <w:r w:rsidR="006F6832">
        <w:rPr>
          <w:rFonts w:ascii="Times New Roman" w:hAnsi="Times New Roman" w:cs="Times New Roman"/>
        </w:rPr>
        <w:t xml:space="preserve"> </w:t>
      </w:r>
      <w:r w:rsidR="00432BE0" w:rsidRPr="00BB66A8">
        <w:rPr>
          <w:rFonts w:ascii="Times New Roman" w:hAnsi="Times New Roman" w:cs="Times New Roman"/>
          <w:color w:val="000000"/>
        </w:rPr>
        <w:t>(Zuccari et al., 2022)</w:t>
      </w:r>
      <w:r w:rsidRPr="00BB66A8">
        <w:rPr>
          <w:rFonts w:ascii="Times New Roman" w:hAnsi="Times New Roman" w:cs="Times New Roman"/>
        </w:rPr>
        <w:t xml:space="preserve">, </w:t>
      </w:r>
      <w:r w:rsidR="00212A1D" w:rsidRPr="00BB66A8">
        <w:rPr>
          <w:rFonts w:ascii="Times New Roman" w:hAnsi="Times New Roman" w:cs="Times New Roman"/>
        </w:rPr>
        <w:t>which</w:t>
      </w:r>
      <w:r w:rsidR="006F6832">
        <w:rPr>
          <w:rFonts w:ascii="Times New Roman" w:hAnsi="Times New Roman" w:cs="Times New Roman"/>
        </w:rPr>
        <w:t xml:space="preserve"> may</w:t>
      </w:r>
      <w:r w:rsidR="00212A1D" w:rsidRPr="00BB66A8">
        <w:rPr>
          <w:rFonts w:ascii="Times New Roman" w:hAnsi="Times New Roman" w:cs="Times New Roman"/>
        </w:rPr>
        <w:t xml:space="preserve"> adversely affect drug bioavailability and therapy outcome</w:t>
      </w:r>
      <w:r w:rsidR="00725685" w:rsidRPr="00BB66A8">
        <w:rPr>
          <w:rFonts w:ascii="Times New Roman" w:hAnsi="Times New Roman" w:cs="Times New Roman"/>
        </w:rPr>
        <w:t>s</w:t>
      </w:r>
      <w:r w:rsidR="00E4658A" w:rsidRPr="00BB66A8">
        <w:rPr>
          <w:rFonts w:ascii="Times New Roman" w:hAnsi="Times New Roman" w:cs="Times New Roman"/>
        </w:rPr>
        <w:t xml:space="preserve"> </w:t>
      </w:r>
      <w:r w:rsidR="00325ADC" w:rsidRPr="00BB66A8">
        <w:rPr>
          <w:rFonts w:ascii="Times New Roman" w:hAnsi="Times New Roman" w:cs="Times New Roman"/>
          <w:noProof/>
        </w:rPr>
        <w:t>(Fang et al., 2019; Lafeber et al., 2022)</w:t>
      </w:r>
      <w:r w:rsidRPr="00BB66A8">
        <w:rPr>
          <w:rFonts w:ascii="Times New Roman" w:hAnsi="Times New Roman" w:cs="Times New Roman"/>
        </w:rPr>
        <w:t xml:space="preserve">. </w:t>
      </w:r>
      <w:r w:rsidR="006F6832">
        <w:rPr>
          <w:rFonts w:ascii="Times New Roman" w:hAnsi="Times New Roman" w:cs="Times New Roman"/>
        </w:rPr>
        <w:t>For the above</w:t>
      </w:r>
      <w:r w:rsidRPr="00BB66A8">
        <w:rPr>
          <w:rFonts w:ascii="Times New Roman" w:hAnsi="Times New Roman" w:cs="Times New Roman"/>
        </w:rPr>
        <w:t>,</w:t>
      </w:r>
      <w:r w:rsidR="006F6832">
        <w:rPr>
          <w:rFonts w:ascii="Times New Roman" w:hAnsi="Times New Roman" w:cs="Times New Roman"/>
        </w:rPr>
        <w:t xml:space="preserve"> </w:t>
      </w:r>
      <w:r w:rsidRPr="00BB66A8">
        <w:rPr>
          <w:rFonts w:ascii="Times New Roman" w:hAnsi="Times New Roman" w:cs="Times New Roman"/>
        </w:rPr>
        <w:t>is evident</w:t>
      </w:r>
      <w:r w:rsidR="006F6832">
        <w:rPr>
          <w:rFonts w:ascii="Times New Roman" w:hAnsi="Times New Roman" w:cs="Times New Roman"/>
        </w:rPr>
        <w:t xml:space="preserve"> </w:t>
      </w:r>
      <w:r w:rsidRPr="00BB66A8">
        <w:rPr>
          <w:rFonts w:ascii="Times New Roman" w:hAnsi="Times New Roman" w:cs="Times New Roman"/>
        </w:rPr>
        <w:t xml:space="preserve">an unmet medical need in the paediatric population, which </w:t>
      </w:r>
      <w:r w:rsidR="006F6832">
        <w:rPr>
          <w:rFonts w:ascii="Times New Roman" w:hAnsi="Times New Roman" w:cs="Times New Roman"/>
        </w:rPr>
        <w:t xml:space="preserve">could be addressed with the development of </w:t>
      </w:r>
      <w:r w:rsidR="00725685" w:rsidRPr="00BB66A8">
        <w:rPr>
          <w:rFonts w:ascii="Times New Roman" w:hAnsi="Times New Roman" w:cs="Times New Roman"/>
        </w:rPr>
        <w:t xml:space="preserve">oral </w:t>
      </w:r>
      <w:r w:rsidRPr="00BB66A8">
        <w:rPr>
          <w:rFonts w:ascii="Times New Roman" w:hAnsi="Times New Roman" w:cs="Times New Roman"/>
        </w:rPr>
        <w:t>formulations</w:t>
      </w:r>
      <w:r w:rsidR="006F6832">
        <w:rPr>
          <w:rFonts w:ascii="Times New Roman" w:hAnsi="Times New Roman" w:cs="Times New Roman"/>
        </w:rPr>
        <w:t xml:space="preserve"> characterised by </w:t>
      </w:r>
      <w:r w:rsidRPr="00BB66A8">
        <w:rPr>
          <w:rFonts w:ascii="Times New Roman" w:hAnsi="Times New Roman" w:cs="Times New Roman"/>
        </w:rPr>
        <w:t>accurate and flexible dosages,</w:t>
      </w:r>
      <w:r w:rsidR="006F6832">
        <w:rPr>
          <w:rFonts w:ascii="Times New Roman" w:hAnsi="Times New Roman" w:cs="Times New Roman"/>
        </w:rPr>
        <w:t xml:space="preserve"> </w:t>
      </w:r>
      <w:r w:rsidRPr="00BB66A8">
        <w:rPr>
          <w:rFonts w:ascii="Times New Roman" w:hAnsi="Times New Roman" w:cs="Times New Roman"/>
        </w:rPr>
        <w:t>sizes</w:t>
      </w:r>
      <w:r w:rsidR="00ED1EC8">
        <w:rPr>
          <w:rFonts w:ascii="Times New Roman" w:hAnsi="Times New Roman" w:cs="Times New Roman"/>
        </w:rPr>
        <w:t>,</w:t>
      </w:r>
      <w:r w:rsidRPr="00BB66A8">
        <w:rPr>
          <w:rFonts w:ascii="Times New Roman" w:hAnsi="Times New Roman" w:cs="Times New Roman"/>
        </w:rPr>
        <w:t xml:space="preserve"> and shapes suitable for swallowability in children, and with </w:t>
      </w:r>
      <w:r w:rsidR="002B7C27" w:rsidRPr="00BB66A8">
        <w:rPr>
          <w:rFonts w:ascii="Times New Roman" w:hAnsi="Times New Roman" w:cs="Times New Roman"/>
        </w:rPr>
        <w:t xml:space="preserve">a </w:t>
      </w:r>
      <w:r w:rsidRPr="00BB66A8">
        <w:rPr>
          <w:rFonts w:ascii="Times New Roman" w:hAnsi="Times New Roman" w:cs="Times New Roman"/>
        </w:rPr>
        <w:t xml:space="preserve">specific selection of excipients </w:t>
      </w:r>
      <w:r w:rsidR="00432BE0" w:rsidRPr="00BB66A8">
        <w:rPr>
          <w:rFonts w:ascii="Times New Roman" w:hAnsi="Times New Roman" w:cs="Times New Roman"/>
          <w:color w:val="000000"/>
        </w:rPr>
        <w:t>(Lafeber et al., 2022)</w:t>
      </w:r>
      <w:r w:rsidRPr="00BB66A8">
        <w:rPr>
          <w:rFonts w:ascii="Times New Roman" w:hAnsi="Times New Roman" w:cs="Times New Roman"/>
        </w:rPr>
        <w:t>.</w:t>
      </w:r>
    </w:p>
    <w:p w14:paraId="1B0BE5B8" w14:textId="208BA83E" w:rsidR="00A2620A" w:rsidRPr="00BB66A8" w:rsidRDefault="00A2620A" w:rsidP="000923D4">
      <w:pPr>
        <w:rPr>
          <w:rFonts w:ascii="Times New Roman" w:hAnsi="Times New Roman" w:cs="Times New Roman"/>
        </w:rPr>
      </w:pPr>
      <w:r w:rsidRPr="00BB66A8">
        <w:rPr>
          <w:rFonts w:ascii="Times New Roman" w:hAnsi="Times New Roman" w:cs="Times New Roman"/>
        </w:rPr>
        <w:t>Three-dimensional printing (3DP) is</w:t>
      </w:r>
      <w:r w:rsidR="00F803D8" w:rsidRPr="00BB66A8">
        <w:rPr>
          <w:rFonts w:ascii="Times New Roman" w:hAnsi="Times New Roman" w:cs="Times New Roman"/>
        </w:rPr>
        <w:t xml:space="preserve"> </w:t>
      </w:r>
      <w:r w:rsidR="00291402" w:rsidRPr="00BB66A8">
        <w:rPr>
          <w:rFonts w:ascii="Times New Roman" w:hAnsi="Times New Roman" w:cs="Times New Roman"/>
        </w:rPr>
        <w:t>one of the</w:t>
      </w:r>
      <w:r w:rsidRPr="00BB66A8">
        <w:rPr>
          <w:rFonts w:ascii="Times New Roman" w:hAnsi="Times New Roman" w:cs="Times New Roman"/>
        </w:rPr>
        <w:t xml:space="preserve"> most innovative </w:t>
      </w:r>
      <w:r w:rsidR="00882A85" w:rsidRPr="00BB66A8">
        <w:rPr>
          <w:rFonts w:ascii="Times New Roman" w:hAnsi="Times New Roman" w:cs="Times New Roman"/>
        </w:rPr>
        <w:t>techniques</w:t>
      </w:r>
      <w:r w:rsidRPr="00BB66A8">
        <w:rPr>
          <w:rFonts w:ascii="Times New Roman" w:hAnsi="Times New Roman" w:cs="Times New Roman"/>
        </w:rPr>
        <w:t xml:space="preserve"> that can satisfy the needs of paediatric patients, ensuring t</w:t>
      </w:r>
      <w:r w:rsidR="00291402" w:rsidRPr="00BB66A8">
        <w:rPr>
          <w:rFonts w:ascii="Times New Roman" w:hAnsi="Times New Roman" w:cs="Times New Roman"/>
        </w:rPr>
        <w:t>o</w:t>
      </w:r>
      <w:r w:rsidRPr="00BB66A8">
        <w:rPr>
          <w:rFonts w:ascii="Times New Roman" w:hAnsi="Times New Roman" w:cs="Times New Roman"/>
        </w:rPr>
        <w:t xml:space="preserve"> overcom</w:t>
      </w:r>
      <w:r w:rsidR="00291402" w:rsidRPr="00BB66A8">
        <w:rPr>
          <w:rFonts w:ascii="Times New Roman" w:hAnsi="Times New Roman" w:cs="Times New Roman"/>
        </w:rPr>
        <w:t>e</w:t>
      </w:r>
      <w:r w:rsidRPr="00BB66A8">
        <w:rPr>
          <w:rFonts w:ascii="Times New Roman" w:hAnsi="Times New Roman" w:cs="Times New Roman"/>
        </w:rPr>
        <w:t xml:space="preserve"> </w:t>
      </w:r>
      <w:r w:rsidR="00291402" w:rsidRPr="00BB66A8">
        <w:rPr>
          <w:rFonts w:ascii="Times New Roman" w:hAnsi="Times New Roman" w:cs="Times New Roman"/>
        </w:rPr>
        <w:t xml:space="preserve">the </w:t>
      </w:r>
      <w:r w:rsidRPr="00BB66A8">
        <w:rPr>
          <w:rFonts w:ascii="Times New Roman" w:hAnsi="Times New Roman" w:cs="Times New Roman"/>
        </w:rPr>
        <w:t xml:space="preserve">"one-size-fits-all" medicine </w:t>
      </w:r>
      <w:r w:rsidR="007C2B04" w:rsidRPr="00BB66A8">
        <w:rPr>
          <w:rFonts w:ascii="Times New Roman" w:hAnsi="Times New Roman" w:cs="Times New Roman"/>
        </w:rPr>
        <w:t xml:space="preserve">by </w:t>
      </w:r>
      <w:r w:rsidR="00CB35A5" w:rsidRPr="00BB66A8">
        <w:rPr>
          <w:rFonts w:ascii="Times New Roman" w:hAnsi="Times New Roman" w:cs="Times New Roman"/>
        </w:rPr>
        <w:t>developing personalized</w:t>
      </w:r>
      <w:r w:rsidRPr="00BB66A8">
        <w:rPr>
          <w:rFonts w:ascii="Times New Roman" w:hAnsi="Times New Roman" w:cs="Times New Roman"/>
        </w:rPr>
        <w:t xml:space="preserve"> medicine </w:t>
      </w:r>
      <w:r w:rsidR="00432BE0" w:rsidRPr="00BB66A8">
        <w:rPr>
          <w:rFonts w:ascii="Times New Roman" w:hAnsi="Times New Roman" w:cs="Times New Roman"/>
          <w:color w:val="000000"/>
        </w:rPr>
        <w:t>(Zema et al., 2017)</w:t>
      </w:r>
      <w:r w:rsidRPr="00BB66A8">
        <w:rPr>
          <w:rFonts w:ascii="Times New Roman" w:hAnsi="Times New Roman" w:cs="Times New Roman"/>
        </w:rPr>
        <w:t xml:space="preserve">. This technique is based on the </w:t>
      </w:r>
      <w:r w:rsidR="007C2B04" w:rsidRPr="00BB66A8">
        <w:rPr>
          <w:rFonts w:ascii="Times New Roman" w:hAnsi="Times New Roman" w:cs="Times New Roman"/>
        </w:rPr>
        <w:t xml:space="preserve">production </w:t>
      </w:r>
      <w:r w:rsidRPr="00BB66A8">
        <w:rPr>
          <w:rFonts w:ascii="Times New Roman" w:hAnsi="Times New Roman" w:cs="Times New Roman"/>
        </w:rPr>
        <w:t>of an object obtained by</w:t>
      </w:r>
      <w:r w:rsidR="002E0B94" w:rsidRPr="00BB66A8">
        <w:rPr>
          <w:rFonts w:ascii="Times New Roman" w:hAnsi="Times New Roman" w:cs="Times New Roman"/>
        </w:rPr>
        <w:t xml:space="preserve"> a</w:t>
      </w:r>
      <w:r w:rsidRPr="00BB66A8">
        <w:rPr>
          <w:rFonts w:ascii="Times New Roman" w:hAnsi="Times New Roman" w:cs="Times New Roman"/>
        </w:rPr>
        <w:t xml:space="preserve"> gradual layering of material from a digital model. The use of computer-aided design (CAD) allows the object to be easily modified and </w:t>
      </w:r>
      <w:r w:rsidRPr="0075467A">
        <w:rPr>
          <w:rFonts w:ascii="Times New Roman" w:hAnsi="Times New Roman" w:cs="Times New Roman"/>
        </w:rPr>
        <w:t>ma</w:t>
      </w:r>
      <w:r w:rsidR="00993687" w:rsidRPr="0075467A">
        <w:rPr>
          <w:rFonts w:ascii="Times New Roman" w:hAnsi="Times New Roman" w:cs="Times New Roman"/>
        </w:rPr>
        <w:t>k</w:t>
      </w:r>
      <w:r w:rsidRPr="0075467A">
        <w:rPr>
          <w:rFonts w:ascii="Times New Roman" w:hAnsi="Times New Roman" w:cs="Times New Roman"/>
        </w:rPr>
        <w:t>e</w:t>
      </w:r>
      <w:r w:rsidRPr="00BB66A8">
        <w:rPr>
          <w:rFonts w:ascii="Times New Roman" w:hAnsi="Times New Roman" w:cs="Times New Roman"/>
        </w:rPr>
        <w:t xml:space="preserve"> </w:t>
      </w:r>
      <w:r w:rsidR="00212A1D" w:rsidRPr="00BB66A8">
        <w:rPr>
          <w:rFonts w:ascii="Times New Roman" w:hAnsi="Times New Roman" w:cs="Times New Roman"/>
        </w:rPr>
        <w:t>user-friendly</w:t>
      </w:r>
      <w:r w:rsidRPr="00BB66A8">
        <w:rPr>
          <w:rFonts w:ascii="Times New Roman" w:hAnsi="Times New Roman" w:cs="Times New Roman"/>
        </w:rPr>
        <w:t xml:space="preserve">. Numerous studies are reported in the literature involving the </w:t>
      </w:r>
      <w:r w:rsidR="00F803D8" w:rsidRPr="00BB66A8">
        <w:rPr>
          <w:rFonts w:ascii="Times New Roman" w:hAnsi="Times New Roman" w:cs="Times New Roman"/>
        </w:rPr>
        <w:t>application</w:t>
      </w:r>
      <w:r w:rsidRPr="00BB66A8">
        <w:rPr>
          <w:rFonts w:ascii="Times New Roman" w:hAnsi="Times New Roman" w:cs="Times New Roman"/>
        </w:rPr>
        <w:t xml:space="preserve"> of different printing techniques to obtain pharmaceutical </w:t>
      </w:r>
      <w:r w:rsidR="007C2B04" w:rsidRPr="00BB66A8">
        <w:rPr>
          <w:rFonts w:ascii="Times New Roman" w:hAnsi="Times New Roman" w:cs="Times New Roman"/>
        </w:rPr>
        <w:t xml:space="preserve">dosage </w:t>
      </w:r>
      <w:r w:rsidRPr="00BB66A8">
        <w:rPr>
          <w:rFonts w:ascii="Times New Roman" w:hAnsi="Times New Roman" w:cs="Times New Roman"/>
        </w:rPr>
        <w:t xml:space="preserve">forms for paediatric use characterized by high flexibility in dosage, shape, drug release kinetics, and polymer composition </w:t>
      </w:r>
      <w:r w:rsidR="00432BE0" w:rsidRPr="00BB66A8">
        <w:rPr>
          <w:rFonts w:ascii="Times New Roman" w:hAnsi="Times New Roman" w:cs="Times New Roman"/>
          <w:color w:val="000000"/>
        </w:rPr>
        <w:t>(Boniatti et al., 2021; El Aita et al., 2020; Scoutaris et al., 2018)</w:t>
      </w:r>
      <w:r w:rsidRPr="00BB66A8">
        <w:rPr>
          <w:rFonts w:ascii="Times New Roman" w:hAnsi="Times New Roman" w:cs="Times New Roman"/>
          <w:lang w:val="en-US"/>
        </w:rPr>
        <w:t xml:space="preserve">. </w:t>
      </w:r>
      <w:r w:rsidRPr="00BB66A8">
        <w:rPr>
          <w:rFonts w:ascii="Times New Roman" w:hAnsi="Times New Roman" w:cs="Times New Roman"/>
        </w:rPr>
        <w:t xml:space="preserve">Among these, extrusion techniques appear to be the most widely </w:t>
      </w:r>
      <w:r w:rsidR="00B11EF2" w:rsidRPr="00BB66A8">
        <w:rPr>
          <w:rFonts w:ascii="Times New Roman" w:hAnsi="Times New Roman" w:cs="Times New Roman"/>
        </w:rPr>
        <w:t>utilized</w:t>
      </w:r>
      <w:r w:rsidRPr="00BB66A8">
        <w:rPr>
          <w:rFonts w:ascii="Times New Roman" w:hAnsi="Times New Roman" w:cs="Times New Roman"/>
        </w:rPr>
        <w:t xml:space="preserve"> due to their versatility. Especially Direct Powder Extrusion (DPE) represents </w:t>
      </w:r>
      <w:r w:rsidR="00B72031">
        <w:rPr>
          <w:rFonts w:ascii="Times New Roman" w:hAnsi="Times New Roman" w:cs="Times New Roman"/>
        </w:rPr>
        <w:t>an</w:t>
      </w:r>
      <w:r w:rsidRPr="00BB66A8">
        <w:rPr>
          <w:rFonts w:ascii="Times New Roman" w:hAnsi="Times New Roman" w:cs="Times New Roman"/>
        </w:rPr>
        <w:t xml:space="preserve"> </w:t>
      </w:r>
      <w:r w:rsidRPr="00BB66A8">
        <w:rPr>
          <w:rFonts w:ascii="Times New Roman" w:hAnsi="Times New Roman" w:cs="Times New Roman"/>
        </w:rPr>
        <w:lastRenderedPageBreak/>
        <w:t xml:space="preserve">innovative 3DP technique capable of directly </w:t>
      </w:r>
      <w:r w:rsidR="007C2B04" w:rsidRPr="00BB66A8">
        <w:rPr>
          <w:rFonts w:ascii="Times New Roman" w:hAnsi="Times New Roman" w:cs="Times New Roman"/>
        </w:rPr>
        <w:t>extruding mixtures</w:t>
      </w:r>
      <w:r w:rsidRPr="00BB66A8">
        <w:rPr>
          <w:rFonts w:ascii="Times New Roman" w:hAnsi="Times New Roman" w:cs="Times New Roman"/>
        </w:rPr>
        <w:t xml:space="preserve"> of excipients and active </w:t>
      </w:r>
      <w:r w:rsidR="007C2B04" w:rsidRPr="00BB66A8">
        <w:rPr>
          <w:rFonts w:ascii="Times New Roman" w:hAnsi="Times New Roman" w:cs="Times New Roman"/>
        </w:rPr>
        <w:t xml:space="preserve">pharmaceutical </w:t>
      </w:r>
      <w:r w:rsidRPr="00BB66A8">
        <w:rPr>
          <w:rFonts w:ascii="Times New Roman" w:hAnsi="Times New Roman" w:cs="Times New Roman"/>
        </w:rPr>
        <w:t>ingredients</w:t>
      </w:r>
      <w:r w:rsidR="00CB35A5" w:rsidRPr="00BB66A8">
        <w:rPr>
          <w:rFonts w:ascii="Times New Roman" w:hAnsi="Times New Roman" w:cs="Times New Roman"/>
        </w:rPr>
        <w:t xml:space="preserve"> </w:t>
      </w:r>
      <w:r w:rsidR="00432BE0" w:rsidRPr="00BB66A8">
        <w:rPr>
          <w:rFonts w:ascii="Times New Roman" w:hAnsi="Times New Roman" w:cs="Times New Roman"/>
          <w:color w:val="000000"/>
        </w:rPr>
        <w:t>(Goyanes et al., 2019; Pistone et al., 2022)</w:t>
      </w:r>
      <w:r w:rsidR="00882A85" w:rsidRPr="00BB66A8">
        <w:rPr>
          <w:rFonts w:ascii="Times New Roman" w:hAnsi="Times New Roman" w:cs="Times New Roman"/>
          <w:color w:val="000000"/>
        </w:rPr>
        <w:t xml:space="preserve"> </w:t>
      </w:r>
      <w:r w:rsidRPr="00BB66A8">
        <w:rPr>
          <w:rFonts w:ascii="Times New Roman" w:hAnsi="Times New Roman" w:cs="Times New Roman"/>
        </w:rPr>
        <w:t xml:space="preserve">overcoming the limitations associated with previous extrusion techniques, such as Fused Deposition Modelling (FDM), which </w:t>
      </w:r>
      <w:r w:rsidR="00A00193" w:rsidRPr="00BB66A8">
        <w:rPr>
          <w:rFonts w:ascii="Times New Roman" w:hAnsi="Times New Roman" w:cs="Times New Roman"/>
        </w:rPr>
        <w:t xml:space="preserve">is </w:t>
      </w:r>
      <w:r w:rsidRPr="00BB66A8">
        <w:rPr>
          <w:rFonts w:ascii="Times New Roman" w:hAnsi="Times New Roman" w:cs="Times New Roman"/>
        </w:rPr>
        <w:t xml:space="preserve">constrained </w:t>
      </w:r>
      <w:r w:rsidR="00A00193" w:rsidRPr="00BB66A8">
        <w:rPr>
          <w:rFonts w:ascii="Times New Roman" w:hAnsi="Times New Roman" w:cs="Times New Roman"/>
        </w:rPr>
        <w:t>using</w:t>
      </w:r>
      <w:r w:rsidRPr="00BB66A8">
        <w:rPr>
          <w:rFonts w:ascii="Times New Roman" w:hAnsi="Times New Roman" w:cs="Times New Roman"/>
        </w:rPr>
        <w:t xml:space="preserve"> filaments, as raw materials, that ha</w:t>
      </w:r>
      <w:r w:rsidR="00993687">
        <w:rPr>
          <w:rFonts w:ascii="Times New Roman" w:hAnsi="Times New Roman" w:cs="Times New Roman"/>
        </w:rPr>
        <w:t>ve</w:t>
      </w:r>
      <w:r w:rsidRPr="00BB66A8">
        <w:rPr>
          <w:rFonts w:ascii="Times New Roman" w:hAnsi="Times New Roman" w:cs="Times New Roman"/>
        </w:rPr>
        <w:t xml:space="preserve"> to meet specific physical and mechanical characteristics </w:t>
      </w:r>
      <w:r w:rsidR="00432BE0" w:rsidRPr="00BB66A8">
        <w:rPr>
          <w:rFonts w:ascii="Times New Roman" w:hAnsi="Times New Roman" w:cs="Times New Roman"/>
          <w:color w:val="000000"/>
        </w:rPr>
        <w:t>(Pistone et al., 2022)</w:t>
      </w:r>
      <w:r w:rsidRPr="00BB66A8">
        <w:rPr>
          <w:rFonts w:ascii="Times New Roman" w:hAnsi="Times New Roman" w:cs="Times New Roman"/>
        </w:rPr>
        <w:t xml:space="preserve">. </w:t>
      </w:r>
      <w:r w:rsidR="009A1D5E">
        <w:rPr>
          <w:rFonts w:ascii="Times New Roman" w:hAnsi="Times New Roman" w:cs="Times New Roman"/>
        </w:rPr>
        <w:t>In fact</w:t>
      </w:r>
      <w:r w:rsidRPr="00BB66A8">
        <w:rPr>
          <w:rFonts w:ascii="Times New Roman" w:hAnsi="Times New Roman" w:cs="Times New Roman"/>
        </w:rPr>
        <w:t xml:space="preserve">, DPE </w:t>
      </w:r>
      <w:r w:rsidR="006B6E7F">
        <w:rPr>
          <w:rFonts w:ascii="Times New Roman" w:hAnsi="Times New Roman" w:cs="Times New Roman"/>
        </w:rPr>
        <w:t>enables the production of</w:t>
      </w:r>
      <w:r w:rsidR="00FC71CB">
        <w:rPr>
          <w:rFonts w:ascii="Times New Roman" w:hAnsi="Times New Roman" w:cs="Times New Roman"/>
        </w:rPr>
        <w:t xml:space="preserve"> </w:t>
      </w:r>
      <w:r w:rsidRPr="00BB66A8">
        <w:rPr>
          <w:rFonts w:ascii="Times New Roman" w:hAnsi="Times New Roman" w:cs="Times New Roman"/>
        </w:rPr>
        <w:t xml:space="preserve">finished and customized pharmaceutical </w:t>
      </w:r>
      <w:r w:rsidR="004A60B2" w:rsidRPr="00BB66A8">
        <w:rPr>
          <w:rFonts w:ascii="Times New Roman" w:hAnsi="Times New Roman" w:cs="Times New Roman"/>
        </w:rPr>
        <w:t xml:space="preserve">dosage </w:t>
      </w:r>
      <w:r w:rsidRPr="00BB66A8">
        <w:rPr>
          <w:rFonts w:ascii="Times New Roman" w:hAnsi="Times New Roman" w:cs="Times New Roman"/>
        </w:rPr>
        <w:t xml:space="preserve">forms in </w:t>
      </w:r>
      <w:r w:rsidR="004A60B2" w:rsidRPr="00BB66A8">
        <w:rPr>
          <w:rFonts w:ascii="Times New Roman" w:hAnsi="Times New Roman" w:cs="Times New Roman"/>
        </w:rPr>
        <w:t>a one-step</w:t>
      </w:r>
      <w:r w:rsidRPr="00BB66A8">
        <w:rPr>
          <w:rFonts w:ascii="Times New Roman" w:hAnsi="Times New Roman" w:cs="Times New Roman"/>
        </w:rPr>
        <w:t xml:space="preserve"> </w:t>
      </w:r>
      <w:r w:rsidR="004A60B2" w:rsidRPr="00BB66A8">
        <w:rPr>
          <w:rFonts w:ascii="Times New Roman" w:hAnsi="Times New Roman" w:cs="Times New Roman"/>
        </w:rPr>
        <w:t xml:space="preserve">procedure </w:t>
      </w:r>
      <w:r w:rsidRPr="00BB66A8">
        <w:rPr>
          <w:rFonts w:ascii="Times New Roman" w:hAnsi="Times New Roman" w:cs="Times New Roman"/>
        </w:rPr>
        <w:t>in the form of amorphous solid dispersions (A</w:t>
      </w:r>
      <w:r w:rsidR="006F6046" w:rsidRPr="00BB66A8">
        <w:rPr>
          <w:rFonts w:ascii="Times New Roman" w:hAnsi="Times New Roman" w:cs="Times New Roman"/>
        </w:rPr>
        <w:t>SD</w:t>
      </w:r>
      <w:r w:rsidRPr="00BB66A8">
        <w:rPr>
          <w:rFonts w:ascii="Times New Roman" w:hAnsi="Times New Roman" w:cs="Times New Roman"/>
        </w:rPr>
        <w:t xml:space="preserve">). ASD represent </w:t>
      </w:r>
      <w:r w:rsidR="009A1D5E">
        <w:rPr>
          <w:rFonts w:ascii="Times New Roman" w:hAnsi="Times New Roman" w:cs="Times New Roman"/>
        </w:rPr>
        <w:t>a strategy</w:t>
      </w:r>
      <w:r w:rsidRPr="00BB66A8">
        <w:rPr>
          <w:rFonts w:ascii="Times New Roman" w:hAnsi="Times New Roman" w:cs="Times New Roman"/>
        </w:rPr>
        <w:t xml:space="preserve"> to induce increased </w:t>
      </w:r>
      <w:r w:rsidR="004A60B2" w:rsidRPr="00BB66A8">
        <w:rPr>
          <w:rFonts w:ascii="Times New Roman" w:hAnsi="Times New Roman" w:cs="Times New Roman"/>
        </w:rPr>
        <w:t xml:space="preserve">water </w:t>
      </w:r>
      <w:r w:rsidRPr="00BB66A8">
        <w:rPr>
          <w:rFonts w:ascii="Times New Roman" w:hAnsi="Times New Roman" w:cs="Times New Roman"/>
        </w:rPr>
        <w:t xml:space="preserve">solubility of drugs, due to the high free energy that the amorphous form acquires compared to its crystalline counterpart </w:t>
      </w:r>
      <w:r w:rsidR="00432BE0" w:rsidRPr="00BB66A8">
        <w:rPr>
          <w:rFonts w:ascii="Times New Roman" w:hAnsi="Times New Roman" w:cs="Times New Roman"/>
          <w:color w:val="000000"/>
        </w:rPr>
        <w:t>(Wang et al., 2022)</w:t>
      </w:r>
      <w:r w:rsidRPr="00BB66A8">
        <w:rPr>
          <w:rFonts w:ascii="Times New Roman" w:hAnsi="Times New Roman" w:cs="Times New Roman"/>
        </w:rPr>
        <w:t xml:space="preserve">. The surfaces of drug molecules in the amorphous state are easily </w:t>
      </w:r>
      <w:r w:rsidR="00437B3F" w:rsidRPr="00437B3F">
        <w:rPr>
          <w:rFonts w:ascii="Times New Roman" w:hAnsi="Times New Roman" w:cs="Times New Roman"/>
        </w:rPr>
        <w:t>wetted</w:t>
      </w:r>
      <w:r w:rsidRPr="00BB66A8">
        <w:rPr>
          <w:rFonts w:ascii="Times New Roman" w:hAnsi="Times New Roman" w:cs="Times New Roman"/>
        </w:rPr>
        <w:t xml:space="preserve">, allowing </w:t>
      </w:r>
      <w:r w:rsidR="00FC71CB">
        <w:rPr>
          <w:rFonts w:ascii="Times New Roman" w:hAnsi="Times New Roman" w:cs="Times New Roman"/>
        </w:rPr>
        <w:t xml:space="preserve">for </w:t>
      </w:r>
      <w:r w:rsidRPr="00BB66A8">
        <w:rPr>
          <w:rFonts w:ascii="Times New Roman" w:hAnsi="Times New Roman" w:cs="Times New Roman"/>
        </w:rPr>
        <w:t xml:space="preserve">improved solubility and </w:t>
      </w:r>
      <w:r w:rsidR="004A60B2" w:rsidRPr="00BB66A8">
        <w:rPr>
          <w:rFonts w:ascii="Times New Roman" w:hAnsi="Times New Roman" w:cs="Times New Roman"/>
        </w:rPr>
        <w:t>dis</w:t>
      </w:r>
      <w:r w:rsidRPr="00BB66A8">
        <w:rPr>
          <w:rFonts w:ascii="Times New Roman" w:hAnsi="Times New Roman" w:cs="Times New Roman"/>
        </w:rPr>
        <w:t>solution rate</w:t>
      </w:r>
      <w:r w:rsidR="00A21BD0" w:rsidRPr="00BB66A8">
        <w:rPr>
          <w:rFonts w:ascii="Times New Roman" w:hAnsi="Times New Roman" w:cs="Times New Roman"/>
        </w:rPr>
        <w:t>,</w:t>
      </w:r>
      <w:r w:rsidRPr="00BB66A8">
        <w:rPr>
          <w:rFonts w:ascii="Times New Roman" w:hAnsi="Times New Roman" w:cs="Times New Roman"/>
        </w:rPr>
        <w:t xml:space="preserve"> even </w:t>
      </w:r>
      <w:r w:rsidR="00A21BD0" w:rsidRPr="00BB66A8">
        <w:rPr>
          <w:rFonts w:ascii="Times New Roman" w:hAnsi="Times New Roman" w:cs="Times New Roman"/>
        </w:rPr>
        <w:t xml:space="preserve">for </w:t>
      </w:r>
      <w:r w:rsidRPr="00BB66A8">
        <w:rPr>
          <w:rFonts w:ascii="Times New Roman" w:hAnsi="Times New Roman" w:cs="Times New Roman"/>
        </w:rPr>
        <w:t xml:space="preserve">the most poorly soluble drugs </w:t>
      </w:r>
      <w:r w:rsidR="00432BE0" w:rsidRPr="00BB66A8">
        <w:rPr>
          <w:rFonts w:ascii="Times New Roman" w:hAnsi="Times New Roman" w:cs="Times New Roman"/>
          <w:color w:val="000000"/>
        </w:rPr>
        <w:t>(Wang et al., 2022)</w:t>
      </w:r>
      <w:r w:rsidRPr="00BB66A8">
        <w:rPr>
          <w:rFonts w:ascii="Times New Roman" w:hAnsi="Times New Roman" w:cs="Times New Roman"/>
        </w:rPr>
        <w:t xml:space="preserve">. </w:t>
      </w:r>
    </w:p>
    <w:p w14:paraId="32788FE6" w14:textId="7428D3D8" w:rsidR="00A2620A" w:rsidRPr="00BB66A8" w:rsidRDefault="004B2111" w:rsidP="000923D4">
      <w:pPr>
        <w:rPr>
          <w:rFonts w:ascii="Times New Roman" w:hAnsi="Times New Roman" w:cs="Times New Roman"/>
        </w:rPr>
      </w:pPr>
      <w:r w:rsidRPr="004B2111">
        <w:rPr>
          <w:rFonts w:ascii="Times New Roman" w:hAnsi="Times New Roman" w:cs="Times New Roman"/>
        </w:rPr>
        <w:t>The aim of this study was</w:t>
      </w:r>
      <w:r>
        <w:rPr>
          <w:rFonts w:ascii="Times New Roman" w:hAnsi="Times New Roman" w:cs="Times New Roman"/>
        </w:rPr>
        <w:t>,</w:t>
      </w:r>
      <w:r w:rsidRPr="004B2111">
        <w:rPr>
          <w:rFonts w:ascii="Times New Roman" w:hAnsi="Times New Roman" w:cs="Times New Roman"/>
        </w:rPr>
        <w:t xml:space="preserve"> therefore</w:t>
      </w:r>
      <w:r>
        <w:rPr>
          <w:rFonts w:ascii="Times New Roman" w:hAnsi="Times New Roman" w:cs="Times New Roman"/>
        </w:rPr>
        <w:t>,</w:t>
      </w:r>
      <w:r w:rsidRPr="004B2111">
        <w:rPr>
          <w:rFonts w:ascii="Times New Roman" w:hAnsi="Times New Roman" w:cs="Times New Roman"/>
        </w:rPr>
        <w:t xml:space="preserve"> to exploit the DPE printing technique to produce Mini-Tablets (MTs) containing approximately 1 mg of BD, a dose deemed therapeutically appropriate and functional to ensure the customization of EC treatment in the different age groups that distinguish the paediatric population</w:t>
      </w:r>
      <w:r w:rsidR="00E72D8F" w:rsidRPr="00BB66A8">
        <w:rPr>
          <w:rFonts w:ascii="Times New Roman" w:hAnsi="Times New Roman" w:cs="Times New Roman"/>
        </w:rPr>
        <w:t xml:space="preserve"> </w:t>
      </w:r>
      <w:r w:rsidR="00E72D8F" w:rsidRPr="00BB66A8">
        <w:rPr>
          <w:rFonts w:ascii="Times New Roman" w:hAnsi="Times New Roman" w:cs="Times New Roman"/>
          <w:noProof/>
        </w:rPr>
        <w:t>(Fang et al., 2019)</w:t>
      </w:r>
      <w:r w:rsidR="004234AC" w:rsidRPr="00BB66A8">
        <w:rPr>
          <w:rFonts w:ascii="Times New Roman" w:hAnsi="Times New Roman" w:cs="Times New Roman"/>
        </w:rPr>
        <w:t>.</w:t>
      </w:r>
      <w:r w:rsidR="00FC71CB">
        <w:rPr>
          <w:rFonts w:ascii="Times New Roman" w:hAnsi="Times New Roman" w:cs="Times New Roman"/>
        </w:rPr>
        <w:t xml:space="preserve"> Indeed</w:t>
      </w:r>
      <w:r w:rsidR="00A2620A" w:rsidRPr="00BB66A8">
        <w:rPr>
          <w:rFonts w:ascii="Times New Roman" w:hAnsi="Times New Roman" w:cs="Times New Roman"/>
        </w:rPr>
        <w:t>, MT</w:t>
      </w:r>
      <w:r w:rsidR="002B7C27" w:rsidRPr="00BB66A8">
        <w:rPr>
          <w:rFonts w:ascii="Times New Roman" w:hAnsi="Times New Roman" w:cs="Times New Roman"/>
        </w:rPr>
        <w:t>s</w:t>
      </w:r>
      <w:r w:rsidR="00A2620A" w:rsidRPr="00BB66A8">
        <w:rPr>
          <w:rFonts w:ascii="Times New Roman" w:hAnsi="Times New Roman" w:cs="Times New Roman"/>
        </w:rPr>
        <w:t xml:space="preserve"> represent a widely accepted pharmaceutical form in the p</w:t>
      </w:r>
      <w:r w:rsidR="00E72D8F" w:rsidRPr="00BB66A8">
        <w:rPr>
          <w:rFonts w:ascii="Times New Roman" w:hAnsi="Times New Roman" w:cs="Times New Roman"/>
        </w:rPr>
        <w:t>a</w:t>
      </w:r>
      <w:r w:rsidR="00A2620A" w:rsidRPr="00BB66A8">
        <w:rPr>
          <w:rFonts w:ascii="Times New Roman" w:hAnsi="Times New Roman" w:cs="Times New Roman"/>
        </w:rPr>
        <w:t>ediatric population</w:t>
      </w:r>
      <w:r w:rsidR="00FC71CB">
        <w:rPr>
          <w:rFonts w:ascii="Times New Roman" w:hAnsi="Times New Roman" w:cs="Times New Roman"/>
        </w:rPr>
        <w:t>,</w:t>
      </w:r>
      <w:r w:rsidR="00A2620A" w:rsidRPr="00BB66A8">
        <w:rPr>
          <w:rFonts w:ascii="Times New Roman" w:hAnsi="Times New Roman" w:cs="Times New Roman"/>
        </w:rPr>
        <w:t xml:space="preserve"> being </w:t>
      </w:r>
      <w:r w:rsidR="00FC71CB" w:rsidRPr="00612278">
        <w:rPr>
          <w:rFonts w:ascii="Times New Roman" w:hAnsi="Times New Roman" w:cs="Times New Roman"/>
        </w:rPr>
        <w:t>eventually</w:t>
      </w:r>
      <w:r w:rsidR="00FC71CB">
        <w:rPr>
          <w:rFonts w:ascii="Times New Roman" w:hAnsi="Times New Roman" w:cs="Times New Roman"/>
        </w:rPr>
        <w:t xml:space="preserve"> produced with</w:t>
      </w:r>
      <w:r w:rsidR="00A2620A" w:rsidRPr="00BB66A8">
        <w:rPr>
          <w:rFonts w:ascii="Times New Roman" w:hAnsi="Times New Roman" w:cs="Times New Roman"/>
        </w:rPr>
        <w:t xml:space="preserve"> diameters ranging from 1.5 mm to 10 mm</w:t>
      </w:r>
      <w:r w:rsidR="00FC71CB">
        <w:rPr>
          <w:rFonts w:ascii="Times New Roman" w:hAnsi="Times New Roman" w:cs="Times New Roman"/>
        </w:rPr>
        <w:t>,</w:t>
      </w:r>
      <w:r w:rsidR="00A2620A" w:rsidRPr="00BB66A8">
        <w:rPr>
          <w:rFonts w:ascii="Times New Roman" w:hAnsi="Times New Roman" w:cs="Times New Roman"/>
        </w:rPr>
        <w:t xml:space="preserve"> depending on the patient's degree of acceptability</w:t>
      </w:r>
      <w:r w:rsidR="00FC71CB">
        <w:rPr>
          <w:rFonts w:ascii="Times New Roman" w:hAnsi="Times New Roman" w:cs="Times New Roman"/>
        </w:rPr>
        <w:t xml:space="preserve"> which is</w:t>
      </w:r>
      <w:r w:rsidR="00A2620A" w:rsidRPr="00BB66A8">
        <w:rPr>
          <w:rFonts w:ascii="Times New Roman" w:hAnsi="Times New Roman" w:cs="Times New Roman"/>
        </w:rPr>
        <w:t xml:space="preserve"> closely related to age </w:t>
      </w:r>
      <w:r w:rsidR="00432BE0" w:rsidRPr="00BB66A8">
        <w:rPr>
          <w:rFonts w:ascii="Times New Roman" w:hAnsi="Times New Roman" w:cs="Times New Roman"/>
          <w:color w:val="000000"/>
        </w:rPr>
        <w:t>(Lafeber et al., 2022)</w:t>
      </w:r>
      <w:r w:rsidR="00A2620A" w:rsidRPr="00BB66A8">
        <w:rPr>
          <w:rFonts w:ascii="Times New Roman" w:hAnsi="Times New Roman" w:cs="Times New Roman"/>
        </w:rPr>
        <w:t xml:space="preserve">. </w:t>
      </w:r>
      <w:r w:rsidR="0091559F">
        <w:rPr>
          <w:rFonts w:ascii="Times New Roman" w:hAnsi="Times New Roman" w:cs="Times New Roman"/>
        </w:rPr>
        <w:t>Moreover, t</w:t>
      </w:r>
      <w:r w:rsidR="006F6046" w:rsidRPr="00BB66A8">
        <w:rPr>
          <w:rFonts w:ascii="Times New Roman" w:hAnsi="Times New Roman" w:cs="Times New Roman"/>
        </w:rPr>
        <w:t xml:space="preserve">hrough the printing step, the </w:t>
      </w:r>
      <w:r w:rsidR="0091559F">
        <w:rPr>
          <w:rFonts w:ascii="Times New Roman" w:hAnsi="Times New Roman" w:cs="Times New Roman"/>
        </w:rPr>
        <w:t>BD</w:t>
      </w:r>
      <w:r w:rsidR="006F6046" w:rsidRPr="00BB66A8">
        <w:rPr>
          <w:rFonts w:ascii="Times New Roman" w:hAnsi="Times New Roman" w:cs="Times New Roman"/>
        </w:rPr>
        <w:t xml:space="preserve"> under</w:t>
      </w:r>
      <w:r w:rsidR="0091559F">
        <w:rPr>
          <w:rFonts w:ascii="Times New Roman" w:hAnsi="Times New Roman" w:cs="Times New Roman"/>
        </w:rPr>
        <w:t>goes</w:t>
      </w:r>
      <w:r w:rsidR="006F6046" w:rsidRPr="00BB66A8">
        <w:rPr>
          <w:rFonts w:ascii="Times New Roman" w:hAnsi="Times New Roman" w:cs="Times New Roman"/>
        </w:rPr>
        <w:t xml:space="preserve"> an amorphization process</w:t>
      </w:r>
      <w:r w:rsidR="0091559F">
        <w:rPr>
          <w:rFonts w:ascii="Times New Roman" w:hAnsi="Times New Roman" w:cs="Times New Roman"/>
        </w:rPr>
        <w:t xml:space="preserve">, </w:t>
      </w:r>
      <w:r w:rsidR="006F6046" w:rsidRPr="00BB66A8">
        <w:rPr>
          <w:rFonts w:ascii="Times New Roman" w:hAnsi="Times New Roman" w:cs="Times New Roman"/>
        </w:rPr>
        <w:t>increas</w:t>
      </w:r>
      <w:r w:rsidR="0091559F">
        <w:rPr>
          <w:rFonts w:ascii="Times New Roman" w:hAnsi="Times New Roman" w:cs="Times New Roman"/>
        </w:rPr>
        <w:t>ing</w:t>
      </w:r>
      <w:r w:rsidR="006F6046" w:rsidRPr="00BB66A8">
        <w:rPr>
          <w:rFonts w:ascii="Times New Roman" w:hAnsi="Times New Roman" w:cs="Times New Roman"/>
        </w:rPr>
        <w:t xml:space="preserve"> </w:t>
      </w:r>
      <w:r w:rsidR="00A2620A" w:rsidRPr="00BB66A8">
        <w:rPr>
          <w:rFonts w:ascii="Times New Roman" w:hAnsi="Times New Roman" w:cs="Times New Roman"/>
        </w:rPr>
        <w:t xml:space="preserve">its solubility and bioavailability. </w:t>
      </w:r>
      <w:r w:rsidR="00025B83" w:rsidRPr="0075467A">
        <w:rPr>
          <w:rFonts w:ascii="Times New Roman" w:hAnsi="Times New Roman" w:cs="Times New Roman"/>
        </w:rPr>
        <w:t>Specifically, three different powder mixtures consisting of selected excipients were produced and studied to implement the physico-chemical characteristics and achieve a suitable release profile of BD</w:t>
      </w:r>
      <w:r w:rsidR="00025B83" w:rsidRPr="00025B83">
        <w:rPr>
          <w:rFonts w:ascii="Times New Roman" w:hAnsi="Times New Roman" w:cs="Times New Roman"/>
        </w:rPr>
        <w:t>.</w:t>
      </w:r>
      <w:r w:rsidR="00A2620A" w:rsidRPr="00BB66A8">
        <w:rPr>
          <w:rFonts w:ascii="Times New Roman" w:hAnsi="Times New Roman" w:cs="Times New Roman"/>
        </w:rPr>
        <w:t xml:space="preserve"> Particularly relevant </w:t>
      </w:r>
      <w:r w:rsidR="00DC0B87">
        <w:rPr>
          <w:rFonts w:ascii="Times New Roman" w:hAnsi="Times New Roman" w:cs="Times New Roman"/>
        </w:rPr>
        <w:t>is</w:t>
      </w:r>
      <w:r w:rsidR="00A2620A" w:rsidRPr="00BB66A8">
        <w:rPr>
          <w:rFonts w:ascii="Times New Roman" w:hAnsi="Times New Roman" w:cs="Times New Roman"/>
        </w:rPr>
        <w:t xml:space="preserve"> the </w:t>
      </w:r>
      <w:r w:rsidR="00DC0B87">
        <w:rPr>
          <w:rFonts w:ascii="Times New Roman" w:hAnsi="Times New Roman" w:cs="Times New Roman"/>
        </w:rPr>
        <w:t>choice</w:t>
      </w:r>
      <w:r w:rsidR="00A2620A" w:rsidRPr="00BB66A8">
        <w:rPr>
          <w:rFonts w:ascii="Times New Roman" w:hAnsi="Times New Roman" w:cs="Times New Roman"/>
        </w:rPr>
        <w:t xml:space="preserve"> of hydroxypropyl-β-cyclodextrin (HP-β-CD), reported in the literature to be able to form stable inclusion complexes with BD </w:t>
      </w:r>
      <w:r w:rsidR="00A2620A" w:rsidRPr="00FA4DCC">
        <w:rPr>
          <w:rFonts w:ascii="Times New Roman" w:hAnsi="Times New Roman" w:cs="Times New Roman"/>
        </w:rPr>
        <w:t>and</w:t>
      </w:r>
      <w:r w:rsidR="00437B3F" w:rsidRPr="00FA4DCC">
        <w:rPr>
          <w:rFonts w:ascii="Times New Roman" w:hAnsi="Times New Roman" w:cs="Times New Roman"/>
        </w:rPr>
        <w:t xml:space="preserve"> to </w:t>
      </w:r>
      <w:r w:rsidR="00CB58DC" w:rsidRPr="00FA4DCC">
        <w:rPr>
          <w:rFonts w:ascii="Times New Roman" w:hAnsi="Times New Roman" w:cs="Times New Roman"/>
        </w:rPr>
        <w:t>increase</w:t>
      </w:r>
      <w:r w:rsidR="00A2620A" w:rsidRPr="00BB66A8">
        <w:rPr>
          <w:rFonts w:ascii="Times New Roman" w:hAnsi="Times New Roman" w:cs="Times New Roman"/>
        </w:rPr>
        <w:t xml:space="preserve"> its solubility </w:t>
      </w:r>
      <w:r w:rsidR="00432BE0" w:rsidRPr="00BB66A8">
        <w:rPr>
          <w:rFonts w:ascii="Times New Roman" w:hAnsi="Times New Roman" w:cs="Times New Roman"/>
          <w:color w:val="000000"/>
        </w:rPr>
        <w:t>(Bandi et al., 2004; Laquintana et al., 2019; Michailidou et al., 2021; Page et al., 2016)</w:t>
      </w:r>
      <w:r w:rsidR="00A2620A" w:rsidRPr="00BB66A8">
        <w:rPr>
          <w:rFonts w:ascii="Times New Roman" w:hAnsi="Times New Roman" w:cs="Times New Roman"/>
          <w:lang w:val="en-US"/>
        </w:rPr>
        <w:t xml:space="preserve">. </w:t>
      </w:r>
      <w:r w:rsidR="00A2620A" w:rsidRPr="00BB66A8">
        <w:rPr>
          <w:rFonts w:ascii="Times New Roman" w:hAnsi="Times New Roman" w:cs="Times New Roman"/>
        </w:rPr>
        <w:t>In addition, since hydrophilic polymer</w:t>
      </w:r>
      <w:r w:rsidR="00A21BD0" w:rsidRPr="00BB66A8">
        <w:rPr>
          <w:rFonts w:ascii="Times New Roman" w:hAnsi="Times New Roman" w:cs="Times New Roman"/>
        </w:rPr>
        <w:t>s</w:t>
      </w:r>
      <w:r w:rsidR="00A2620A" w:rsidRPr="00BB66A8">
        <w:rPr>
          <w:rFonts w:ascii="Times New Roman" w:hAnsi="Times New Roman" w:cs="Times New Roman"/>
        </w:rPr>
        <w:t xml:space="preserve"> </w:t>
      </w:r>
      <w:r w:rsidR="00A21BD0" w:rsidRPr="00BB66A8">
        <w:rPr>
          <w:rFonts w:ascii="Times New Roman" w:hAnsi="Times New Roman" w:cs="Times New Roman"/>
        </w:rPr>
        <w:t xml:space="preserve">are </w:t>
      </w:r>
      <w:r w:rsidR="00A2620A" w:rsidRPr="00BB66A8">
        <w:rPr>
          <w:rFonts w:ascii="Times New Roman" w:hAnsi="Times New Roman" w:cs="Times New Roman"/>
        </w:rPr>
        <w:t>known to induce further stabili</w:t>
      </w:r>
      <w:r w:rsidR="00993687">
        <w:rPr>
          <w:rFonts w:ascii="Times New Roman" w:hAnsi="Times New Roman" w:cs="Times New Roman"/>
        </w:rPr>
        <w:t>s</w:t>
      </w:r>
      <w:r w:rsidR="00A2620A" w:rsidRPr="00BB66A8">
        <w:rPr>
          <w:rFonts w:ascii="Times New Roman" w:hAnsi="Times New Roman" w:cs="Times New Roman"/>
        </w:rPr>
        <w:t xml:space="preserve">ation of a drug/cyclodextrin (CD) inclusion complex </w:t>
      </w:r>
      <w:r w:rsidR="00432BE0" w:rsidRPr="00BB66A8">
        <w:rPr>
          <w:rFonts w:ascii="Times New Roman" w:hAnsi="Times New Roman" w:cs="Times New Roman"/>
          <w:color w:val="000000"/>
        </w:rPr>
        <w:t>(Medarević et al., 2015; Patel and Vavia, 2008)</w:t>
      </w:r>
      <w:r w:rsidR="00A2620A" w:rsidRPr="00BB66A8">
        <w:rPr>
          <w:rFonts w:ascii="Times New Roman" w:hAnsi="Times New Roman" w:cs="Times New Roman"/>
        </w:rPr>
        <w:t xml:space="preserve">, </w:t>
      </w:r>
      <w:r w:rsidR="00DC0B87" w:rsidRPr="00BB66A8">
        <w:rPr>
          <w:rFonts w:ascii="Times New Roman" w:hAnsi="Times New Roman" w:cs="Times New Roman"/>
        </w:rPr>
        <w:t>hydroxypropyl methylcellulose (HPMC, Affinisol 15 LV)</w:t>
      </w:r>
      <w:r w:rsidR="00DC0B87">
        <w:rPr>
          <w:rFonts w:ascii="Times New Roman" w:hAnsi="Times New Roman" w:cs="Times New Roman"/>
        </w:rPr>
        <w:t xml:space="preserve">, </w:t>
      </w:r>
      <w:r w:rsidR="00A2620A" w:rsidRPr="00BB66A8">
        <w:rPr>
          <w:rFonts w:ascii="Times New Roman" w:hAnsi="Times New Roman" w:cs="Times New Roman"/>
        </w:rPr>
        <w:t>a cellulose derivative with functional thermal properties for the 3D printing process,</w:t>
      </w:r>
      <w:r w:rsidR="00DC0B87">
        <w:rPr>
          <w:rFonts w:ascii="Times New Roman" w:hAnsi="Times New Roman" w:cs="Times New Roman"/>
        </w:rPr>
        <w:t xml:space="preserve"> </w:t>
      </w:r>
      <w:r w:rsidR="00A2620A" w:rsidRPr="00BB66A8">
        <w:rPr>
          <w:rFonts w:ascii="Times New Roman" w:hAnsi="Times New Roman" w:cs="Times New Roman"/>
        </w:rPr>
        <w:t xml:space="preserve">was selected as carrier polymer. An </w:t>
      </w:r>
      <w:r w:rsidR="00661E4B" w:rsidRPr="00BB66A8">
        <w:rPr>
          <w:rFonts w:ascii="Times New Roman" w:hAnsi="Times New Roman" w:cs="Times New Roman"/>
        </w:rPr>
        <w:t xml:space="preserve">adjuvant blend </w:t>
      </w:r>
      <w:r w:rsidR="00A2620A" w:rsidRPr="00BB66A8">
        <w:rPr>
          <w:rFonts w:ascii="Times New Roman" w:hAnsi="Times New Roman" w:cs="Times New Roman"/>
        </w:rPr>
        <w:t>(A</w:t>
      </w:r>
      <w:r w:rsidR="00661E4B">
        <w:rPr>
          <w:rFonts w:ascii="Times New Roman" w:hAnsi="Times New Roman" w:cs="Times New Roman"/>
        </w:rPr>
        <w:t>B</w:t>
      </w:r>
      <w:r w:rsidR="00A2620A" w:rsidRPr="00BB66A8">
        <w:rPr>
          <w:rFonts w:ascii="Times New Roman" w:hAnsi="Times New Roman" w:cs="Times New Roman"/>
        </w:rPr>
        <w:t xml:space="preserve">), consisting of sodium bicarbonate, citric acid, and tartaric acid, was </w:t>
      </w:r>
      <w:r w:rsidR="00D028FF" w:rsidRPr="00BB66A8">
        <w:rPr>
          <w:rFonts w:ascii="Times New Roman" w:hAnsi="Times New Roman" w:cs="Times New Roman"/>
        </w:rPr>
        <w:t xml:space="preserve">also </w:t>
      </w:r>
      <w:r w:rsidR="00A2620A" w:rsidRPr="00BB66A8">
        <w:rPr>
          <w:rFonts w:ascii="Times New Roman" w:hAnsi="Times New Roman" w:cs="Times New Roman"/>
        </w:rPr>
        <w:t>included in the formulation</w:t>
      </w:r>
      <w:r w:rsidR="00DC0B87">
        <w:rPr>
          <w:rFonts w:ascii="Times New Roman" w:hAnsi="Times New Roman" w:cs="Times New Roman"/>
        </w:rPr>
        <w:t>s</w:t>
      </w:r>
      <w:r w:rsidR="00A2620A" w:rsidRPr="00BB66A8">
        <w:rPr>
          <w:rFonts w:ascii="Times New Roman" w:hAnsi="Times New Roman" w:cs="Times New Roman"/>
        </w:rPr>
        <w:t xml:space="preserve"> to speed up the dissolution of the </w:t>
      </w:r>
      <w:r w:rsidR="00661E4B">
        <w:rPr>
          <w:rFonts w:ascii="Times New Roman" w:hAnsi="Times New Roman" w:cs="Times New Roman"/>
        </w:rPr>
        <w:t>HPMC</w:t>
      </w:r>
      <w:r w:rsidR="00A2620A" w:rsidRPr="00BB66A8">
        <w:rPr>
          <w:rFonts w:ascii="Times New Roman" w:hAnsi="Times New Roman" w:cs="Times New Roman"/>
        </w:rPr>
        <w:t xml:space="preserve">, </w:t>
      </w:r>
      <w:r w:rsidR="001C3FFE" w:rsidRPr="001C3FFE">
        <w:rPr>
          <w:rFonts w:ascii="Times New Roman" w:hAnsi="Times New Roman" w:cs="Times New Roman"/>
        </w:rPr>
        <w:t>which if too slow could induce recrystallisation of the drug in the gel layer</w:t>
      </w:r>
      <w:r w:rsidR="00A2620A" w:rsidRPr="00BB66A8">
        <w:rPr>
          <w:rFonts w:ascii="Times New Roman" w:hAnsi="Times New Roman" w:cs="Times New Roman"/>
        </w:rPr>
        <w:t xml:space="preserve"> </w:t>
      </w:r>
      <w:r w:rsidR="00432BE0" w:rsidRPr="00BB66A8">
        <w:rPr>
          <w:rFonts w:ascii="Times New Roman" w:hAnsi="Times New Roman" w:cs="Times New Roman"/>
          <w:color w:val="000000"/>
        </w:rPr>
        <w:t>(Takano et al., 2020)</w:t>
      </w:r>
      <w:r w:rsidR="00A2620A" w:rsidRPr="00BB66A8">
        <w:rPr>
          <w:rFonts w:ascii="Times New Roman" w:hAnsi="Times New Roman" w:cs="Times New Roman"/>
        </w:rPr>
        <w:t xml:space="preserve">. Finally, polyethylene glycol (PEG) 6000 selected for its plasticizing properties was </w:t>
      </w:r>
      <w:r w:rsidR="002E0B94" w:rsidRPr="00BB66A8">
        <w:rPr>
          <w:rFonts w:ascii="Times New Roman" w:hAnsi="Times New Roman" w:cs="Times New Roman"/>
        </w:rPr>
        <w:t xml:space="preserve">introduced </w:t>
      </w:r>
      <w:r w:rsidR="00A2620A" w:rsidRPr="00BB66A8">
        <w:rPr>
          <w:rFonts w:ascii="Times New Roman" w:hAnsi="Times New Roman" w:cs="Times New Roman"/>
        </w:rPr>
        <w:t xml:space="preserve">in the mixtures </w:t>
      </w:r>
      <w:r w:rsidR="00432BE0" w:rsidRPr="00BB66A8">
        <w:rPr>
          <w:rFonts w:ascii="Times New Roman" w:hAnsi="Times New Roman" w:cs="Times New Roman"/>
          <w:color w:val="000000"/>
        </w:rPr>
        <w:t>(Alhijjaj et al., 2016)</w:t>
      </w:r>
      <w:r w:rsidR="00A2620A" w:rsidRPr="00BB66A8">
        <w:rPr>
          <w:rFonts w:ascii="Times New Roman" w:hAnsi="Times New Roman" w:cs="Times New Roman"/>
        </w:rPr>
        <w:t>. Furthermore, to reduce the absorption of BD at the small intestine level and allow greater dose release at the colon level, the MT</w:t>
      </w:r>
      <w:r w:rsidR="002B7C27" w:rsidRPr="00BB66A8">
        <w:rPr>
          <w:rFonts w:ascii="Times New Roman" w:hAnsi="Times New Roman" w:cs="Times New Roman"/>
        </w:rPr>
        <w:t>s</w:t>
      </w:r>
      <w:r w:rsidR="00A2620A" w:rsidRPr="00BB66A8">
        <w:rPr>
          <w:rFonts w:ascii="Times New Roman" w:hAnsi="Times New Roman" w:cs="Times New Roman"/>
        </w:rPr>
        <w:t xml:space="preserve"> were</w:t>
      </w:r>
      <w:r w:rsidR="00DC0B87">
        <w:rPr>
          <w:rFonts w:ascii="Times New Roman" w:hAnsi="Times New Roman" w:cs="Times New Roman"/>
        </w:rPr>
        <w:t xml:space="preserve"> </w:t>
      </w:r>
      <w:r w:rsidR="00A2620A" w:rsidRPr="00BB66A8">
        <w:rPr>
          <w:rFonts w:ascii="Times New Roman" w:hAnsi="Times New Roman" w:cs="Times New Roman"/>
        </w:rPr>
        <w:t xml:space="preserve">coated by Wurster technique with </w:t>
      </w:r>
      <w:r w:rsidR="00DC0B87">
        <w:rPr>
          <w:rFonts w:ascii="Times New Roman" w:hAnsi="Times New Roman" w:cs="Times New Roman"/>
        </w:rPr>
        <w:t xml:space="preserve">the </w:t>
      </w:r>
      <w:r w:rsidR="00DC0B87" w:rsidRPr="00BB66A8">
        <w:rPr>
          <w:rFonts w:ascii="Times New Roman" w:hAnsi="Times New Roman" w:cs="Times New Roman"/>
        </w:rPr>
        <w:t xml:space="preserve">Eudragit FS 30 D </w:t>
      </w:r>
      <w:r w:rsidR="00A2620A" w:rsidRPr="00BB66A8">
        <w:rPr>
          <w:rFonts w:ascii="Times New Roman" w:hAnsi="Times New Roman" w:cs="Times New Roman"/>
        </w:rPr>
        <w:t>polymer</w:t>
      </w:r>
      <w:r w:rsidR="00DC0B87">
        <w:rPr>
          <w:rFonts w:ascii="Times New Roman" w:hAnsi="Times New Roman" w:cs="Times New Roman"/>
        </w:rPr>
        <w:t>,</w:t>
      </w:r>
      <w:r w:rsidR="00A2620A" w:rsidRPr="00BB66A8">
        <w:rPr>
          <w:rFonts w:ascii="Times New Roman" w:hAnsi="Times New Roman" w:cs="Times New Roman"/>
        </w:rPr>
        <w:t xml:space="preserve"> capable of inducing selective release at a pH ˃</w:t>
      </w:r>
      <w:r w:rsidR="00B72031">
        <w:rPr>
          <w:rFonts w:ascii="Times New Roman" w:hAnsi="Times New Roman" w:cs="Times New Roman"/>
        </w:rPr>
        <w:t xml:space="preserve"> </w:t>
      </w:r>
      <w:r w:rsidR="00A2620A" w:rsidRPr="00BB66A8">
        <w:rPr>
          <w:rFonts w:ascii="Times New Roman" w:hAnsi="Times New Roman" w:cs="Times New Roman"/>
        </w:rPr>
        <w:t>7.</w:t>
      </w:r>
      <w:r w:rsidR="00661E4B">
        <w:rPr>
          <w:rFonts w:ascii="Times New Roman" w:hAnsi="Times New Roman" w:cs="Times New Roman"/>
        </w:rPr>
        <w:t>0</w:t>
      </w:r>
      <w:r w:rsidR="00A2620A" w:rsidRPr="00BB66A8">
        <w:rPr>
          <w:rFonts w:ascii="Times New Roman" w:hAnsi="Times New Roman" w:cs="Times New Roman"/>
        </w:rPr>
        <w:t xml:space="preserve">. </w:t>
      </w:r>
      <w:r w:rsidR="002E0B94" w:rsidRPr="00BB66A8">
        <w:rPr>
          <w:rFonts w:ascii="Times New Roman" w:hAnsi="Times New Roman" w:cs="Times New Roman"/>
        </w:rPr>
        <w:t xml:space="preserve">It </w:t>
      </w:r>
      <w:r w:rsidR="00A2620A" w:rsidRPr="00BB66A8">
        <w:rPr>
          <w:rFonts w:ascii="Times New Roman" w:hAnsi="Times New Roman" w:cs="Times New Roman"/>
        </w:rPr>
        <w:t xml:space="preserve">is an anionic copolymer of methyl acrylate, methyl methacrylate, and methacrylic acid, widely recognized as the excipient of choice for selective </w:t>
      </w:r>
      <w:r w:rsidR="00D028FF" w:rsidRPr="00BB66A8">
        <w:rPr>
          <w:rFonts w:ascii="Times New Roman" w:hAnsi="Times New Roman" w:cs="Times New Roman"/>
        </w:rPr>
        <w:t xml:space="preserve">colon </w:t>
      </w:r>
      <w:r w:rsidR="00A2620A" w:rsidRPr="00BB66A8">
        <w:rPr>
          <w:rFonts w:ascii="Times New Roman" w:hAnsi="Times New Roman" w:cs="Times New Roman"/>
        </w:rPr>
        <w:t xml:space="preserve">delivery </w:t>
      </w:r>
      <w:r w:rsidR="00432BE0" w:rsidRPr="00BB66A8">
        <w:rPr>
          <w:rFonts w:ascii="Times New Roman" w:hAnsi="Times New Roman" w:cs="Times New Roman"/>
          <w:color w:val="000000"/>
        </w:rPr>
        <w:t>(Gao et al., 2006; Rabito et al., 2012)</w:t>
      </w:r>
      <w:r w:rsidR="00A2620A" w:rsidRPr="00BB66A8">
        <w:rPr>
          <w:rFonts w:ascii="Times New Roman" w:hAnsi="Times New Roman" w:cs="Times New Roman"/>
        </w:rPr>
        <w:t>.</w:t>
      </w:r>
    </w:p>
    <w:p w14:paraId="44094DE0" w14:textId="20102CEA" w:rsidR="00F70A05" w:rsidRPr="00BB66A8" w:rsidRDefault="00F70A05" w:rsidP="000923D4">
      <w:pPr>
        <w:rPr>
          <w:rFonts w:ascii="Times New Roman" w:hAnsi="Times New Roman" w:cs="Times New Roman"/>
        </w:rPr>
      </w:pPr>
      <w:r w:rsidRPr="00BB66A8">
        <w:rPr>
          <w:rFonts w:ascii="Times New Roman" w:hAnsi="Times New Roman" w:cs="Times New Roman"/>
        </w:rPr>
        <w:t xml:space="preserve">Hence, the present </w:t>
      </w:r>
      <w:r w:rsidR="00D028FF" w:rsidRPr="00BB66A8">
        <w:rPr>
          <w:rFonts w:ascii="Times New Roman" w:hAnsi="Times New Roman" w:cs="Times New Roman"/>
        </w:rPr>
        <w:t xml:space="preserve">study </w:t>
      </w:r>
      <w:r w:rsidRPr="00BB66A8">
        <w:rPr>
          <w:rFonts w:ascii="Times New Roman" w:hAnsi="Times New Roman" w:cs="Times New Roman"/>
        </w:rPr>
        <w:t>propose</w:t>
      </w:r>
      <w:r w:rsidR="00DC0B87">
        <w:rPr>
          <w:rFonts w:ascii="Times New Roman" w:hAnsi="Times New Roman" w:cs="Times New Roman"/>
        </w:rPr>
        <w:t>s</w:t>
      </w:r>
      <w:r w:rsidRPr="00BB66A8">
        <w:rPr>
          <w:rFonts w:ascii="Times New Roman" w:hAnsi="Times New Roman" w:cs="Times New Roman"/>
        </w:rPr>
        <w:t xml:space="preserve"> the development of a</w:t>
      </w:r>
      <w:r w:rsidR="00D028FF" w:rsidRPr="00BB66A8">
        <w:rPr>
          <w:rFonts w:ascii="Times New Roman" w:hAnsi="Times New Roman" w:cs="Times New Roman"/>
        </w:rPr>
        <w:t>n oral solid</w:t>
      </w:r>
      <w:r w:rsidRPr="00BB66A8">
        <w:rPr>
          <w:rFonts w:ascii="Times New Roman" w:hAnsi="Times New Roman" w:cs="Times New Roman"/>
        </w:rPr>
        <w:t xml:space="preserve"> formulation</w:t>
      </w:r>
      <w:r w:rsidR="00D414DC" w:rsidRPr="00BB66A8">
        <w:rPr>
          <w:rFonts w:ascii="Times New Roman" w:hAnsi="Times New Roman" w:cs="Times New Roman"/>
        </w:rPr>
        <w:t>, namely a MT</w:t>
      </w:r>
      <w:r w:rsidRPr="00BB66A8">
        <w:rPr>
          <w:rFonts w:ascii="Times New Roman" w:hAnsi="Times New Roman" w:cs="Times New Roman"/>
        </w:rPr>
        <w:t xml:space="preserve"> </w:t>
      </w:r>
      <w:r w:rsidR="00D414DC" w:rsidRPr="00BB66A8">
        <w:rPr>
          <w:rFonts w:ascii="Times New Roman" w:hAnsi="Times New Roman" w:cs="Times New Roman"/>
        </w:rPr>
        <w:t xml:space="preserve">specifically </w:t>
      </w:r>
      <w:r w:rsidRPr="00BB66A8">
        <w:rPr>
          <w:rFonts w:ascii="Times New Roman" w:hAnsi="Times New Roman" w:cs="Times New Roman"/>
        </w:rPr>
        <w:t xml:space="preserve">designed for paediatric use that, as demonstrated by </w:t>
      </w:r>
      <w:r w:rsidR="00D414DC" w:rsidRPr="00BB66A8">
        <w:rPr>
          <w:rFonts w:ascii="Times New Roman" w:hAnsi="Times New Roman" w:cs="Times New Roman"/>
          <w:i/>
          <w:iCs/>
        </w:rPr>
        <w:t>in vitro</w:t>
      </w:r>
      <w:r w:rsidR="00D414DC" w:rsidRPr="00BB66A8">
        <w:rPr>
          <w:rFonts w:ascii="Times New Roman" w:hAnsi="Times New Roman" w:cs="Times New Roman"/>
        </w:rPr>
        <w:t xml:space="preserve"> </w:t>
      </w:r>
      <w:r w:rsidRPr="00BB66A8">
        <w:rPr>
          <w:rFonts w:ascii="Times New Roman" w:hAnsi="Times New Roman" w:cs="Times New Roman"/>
        </w:rPr>
        <w:t>dissolution studies,</w:t>
      </w:r>
      <w:r w:rsidR="00DC0B87">
        <w:rPr>
          <w:rFonts w:ascii="Times New Roman" w:hAnsi="Times New Roman" w:cs="Times New Roman"/>
        </w:rPr>
        <w:t xml:space="preserve"> could</w:t>
      </w:r>
      <w:r w:rsidRPr="00BB66A8">
        <w:rPr>
          <w:rFonts w:ascii="Times New Roman" w:hAnsi="Times New Roman" w:cs="Times New Roman"/>
        </w:rPr>
        <w:t xml:space="preserve"> enable selective colonic release of BD</w:t>
      </w:r>
      <w:r w:rsidR="009925CA" w:rsidRPr="00BB66A8">
        <w:rPr>
          <w:rFonts w:ascii="Times New Roman" w:hAnsi="Times New Roman" w:cs="Times New Roman"/>
        </w:rPr>
        <w:t>.</w:t>
      </w:r>
    </w:p>
    <w:p w14:paraId="50E77265" w14:textId="77777777" w:rsidR="00A2620A" w:rsidRPr="00BB66A8" w:rsidRDefault="00A2620A" w:rsidP="001030ED">
      <w:pPr>
        <w:rPr>
          <w:rFonts w:ascii="Times New Roman" w:hAnsi="Times New Roman" w:cs="Times New Roman"/>
        </w:rPr>
      </w:pPr>
    </w:p>
    <w:p w14:paraId="5A1C62B5" w14:textId="77777777" w:rsidR="00A2620A" w:rsidRPr="00BB66A8" w:rsidRDefault="00A2620A" w:rsidP="001030ED">
      <w:pPr>
        <w:rPr>
          <w:rFonts w:ascii="Times New Roman" w:hAnsi="Times New Roman" w:cs="Times New Roman"/>
        </w:rPr>
      </w:pPr>
    </w:p>
    <w:p w14:paraId="0E03A7AD" w14:textId="1FC818D7" w:rsidR="00A2620A" w:rsidRPr="00BB66A8" w:rsidRDefault="00A2620A" w:rsidP="001030ED">
      <w:pPr>
        <w:rPr>
          <w:rFonts w:ascii="Times New Roman" w:hAnsi="Times New Roman" w:cs="Times New Roman"/>
        </w:rPr>
      </w:pPr>
    </w:p>
    <w:p w14:paraId="5A6DC513" w14:textId="402E42FE" w:rsidR="003A16CB" w:rsidRPr="00BB66A8" w:rsidRDefault="003A16CB" w:rsidP="001030ED">
      <w:pPr>
        <w:rPr>
          <w:rFonts w:ascii="Times New Roman" w:hAnsi="Times New Roman" w:cs="Times New Roman"/>
        </w:rPr>
      </w:pPr>
    </w:p>
    <w:p w14:paraId="49CCE2FD" w14:textId="77777777" w:rsidR="003A16CB" w:rsidRPr="00BB66A8" w:rsidRDefault="003A16CB" w:rsidP="001030ED">
      <w:pPr>
        <w:rPr>
          <w:rFonts w:ascii="Times New Roman" w:hAnsi="Times New Roman" w:cs="Times New Roman"/>
        </w:rPr>
      </w:pPr>
    </w:p>
    <w:p w14:paraId="3D445D3B" w14:textId="7A3C5F76" w:rsidR="00A2620A" w:rsidRDefault="00A2620A" w:rsidP="001030ED">
      <w:pPr>
        <w:rPr>
          <w:rFonts w:ascii="Times New Roman" w:hAnsi="Times New Roman" w:cs="Times New Roman"/>
        </w:rPr>
      </w:pPr>
    </w:p>
    <w:p w14:paraId="79271E49" w14:textId="6CC1D06D" w:rsidR="00DE7C10" w:rsidRDefault="00DE7C10" w:rsidP="001030ED">
      <w:pPr>
        <w:rPr>
          <w:rFonts w:ascii="Times New Roman" w:hAnsi="Times New Roman" w:cs="Times New Roman"/>
        </w:rPr>
      </w:pPr>
    </w:p>
    <w:p w14:paraId="6265D3D1" w14:textId="777BDA41" w:rsidR="00DE7C10" w:rsidRDefault="00DE7C10" w:rsidP="001030ED">
      <w:pPr>
        <w:rPr>
          <w:rFonts w:ascii="Times New Roman" w:hAnsi="Times New Roman" w:cs="Times New Roman"/>
        </w:rPr>
      </w:pPr>
    </w:p>
    <w:p w14:paraId="6570EDF1" w14:textId="386519FB" w:rsidR="00DE7C10" w:rsidRDefault="00DE7C10" w:rsidP="001030ED">
      <w:pPr>
        <w:rPr>
          <w:rFonts w:ascii="Times New Roman" w:hAnsi="Times New Roman" w:cs="Times New Roman"/>
        </w:rPr>
      </w:pPr>
    </w:p>
    <w:p w14:paraId="23EE9479" w14:textId="77777777" w:rsidR="00286BA3" w:rsidRPr="00BB66A8" w:rsidRDefault="00286BA3" w:rsidP="001030ED">
      <w:pPr>
        <w:rPr>
          <w:rFonts w:ascii="Times New Roman" w:hAnsi="Times New Roman" w:cs="Times New Roman"/>
        </w:rPr>
      </w:pPr>
    </w:p>
    <w:p w14:paraId="02B981EB" w14:textId="77777777" w:rsidR="00A2620A" w:rsidRPr="00BB66A8" w:rsidRDefault="00A2620A" w:rsidP="00811629">
      <w:pPr>
        <w:pStyle w:val="Titolo2"/>
        <w:numPr>
          <w:ilvl w:val="0"/>
          <w:numId w:val="9"/>
        </w:numPr>
        <w:rPr>
          <w:rFonts w:ascii="Times New Roman" w:hAnsi="Times New Roman" w:cs="Times New Roman"/>
        </w:rPr>
      </w:pPr>
      <w:r w:rsidRPr="00BB66A8">
        <w:rPr>
          <w:rFonts w:ascii="Times New Roman" w:hAnsi="Times New Roman" w:cs="Times New Roman"/>
        </w:rPr>
        <w:lastRenderedPageBreak/>
        <w:t>Materials and Methods</w:t>
      </w:r>
    </w:p>
    <w:p w14:paraId="21B9D3EA" w14:textId="77777777" w:rsidR="00A2620A" w:rsidRPr="00BB66A8" w:rsidRDefault="00A2620A" w:rsidP="00537322">
      <w:pPr>
        <w:pStyle w:val="Titolo3"/>
        <w:rPr>
          <w:rFonts w:ascii="Times New Roman" w:hAnsi="Times New Roman" w:cs="Times New Roman"/>
        </w:rPr>
      </w:pPr>
      <w:r w:rsidRPr="00BB66A8">
        <w:rPr>
          <w:rFonts w:ascii="Times New Roman" w:hAnsi="Times New Roman" w:cs="Times New Roman"/>
        </w:rPr>
        <w:t>Materials</w:t>
      </w:r>
    </w:p>
    <w:p w14:paraId="71036CAF" w14:textId="46124F19" w:rsidR="00A2620A" w:rsidRPr="00BB66A8" w:rsidRDefault="00A2620A" w:rsidP="006534D8">
      <w:pPr>
        <w:rPr>
          <w:rFonts w:ascii="Times New Roman" w:hAnsi="Times New Roman" w:cs="Times New Roman"/>
          <w:color w:val="auto"/>
        </w:rPr>
      </w:pPr>
      <w:r w:rsidRPr="00BB66A8">
        <w:rPr>
          <w:rFonts w:ascii="Times New Roman" w:hAnsi="Times New Roman" w:cs="Times New Roman"/>
        </w:rPr>
        <w:t xml:space="preserve">Micronized Budesonide, HP-β-CD (molar substitution 0.88), and PEG 6000 were purchased from Farmalabor s.r.l. (Canosa di Puglia, Italy). The HPMC (Affinisol HPMC HME 15 LV) was donated by Colorcon (Harleysville, USA). Citric Acid, Tartaric Acid, Sodium Bicarbonate, </w:t>
      </w:r>
      <w:r w:rsidR="001C3FFE" w:rsidRPr="00BB66A8">
        <w:rPr>
          <w:rFonts w:ascii="Times New Roman" w:hAnsi="Times New Roman" w:cs="Times New Roman"/>
        </w:rPr>
        <w:t>Phosphate</w:t>
      </w:r>
      <w:r w:rsidR="001C3FFE">
        <w:rPr>
          <w:rFonts w:ascii="Times New Roman" w:hAnsi="Times New Roman" w:cs="Times New Roman"/>
        </w:rPr>
        <w:t xml:space="preserve"> </w:t>
      </w:r>
      <w:r w:rsidRPr="00BB66A8">
        <w:rPr>
          <w:rFonts w:ascii="Times New Roman" w:hAnsi="Times New Roman" w:cs="Times New Roman"/>
        </w:rPr>
        <w:t>monobasic Potassium, Sodium Hydroxide, and Methanol (≥ 99.9) were purchased from Sigma-Aldrich-Merck (</w:t>
      </w:r>
      <w:r w:rsidR="001C3FFE">
        <w:rPr>
          <w:rFonts w:ascii="Times New Roman" w:hAnsi="Times New Roman" w:cs="Times New Roman"/>
        </w:rPr>
        <w:t>Milan, Italy</w:t>
      </w:r>
      <w:r w:rsidRPr="00BB66A8">
        <w:rPr>
          <w:rFonts w:ascii="Times New Roman" w:hAnsi="Times New Roman" w:cs="Times New Roman"/>
        </w:rPr>
        <w:t xml:space="preserve">). </w:t>
      </w:r>
      <w:r w:rsidRPr="00BB66A8">
        <w:rPr>
          <w:rFonts w:ascii="Times New Roman" w:eastAsia="Times New Roman" w:hAnsi="Times New Roman" w:cs="Times New Roman"/>
          <w:lang w:val="en-US" w:eastAsia="it-IT"/>
        </w:rPr>
        <w:t xml:space="preserve">Triethyl citrate (CITROFOL® AI Pharma) was supplied by </w:t>
      </w:r>
      <w:r w:rsidRPr="001F7968">
        <w:rPr>
          <w:rFonts w:ascii="Times New Roman" w:eastAsia="Times New Roman" w:hAnsi="Times New Roman" w:cs="Times New Roman"/>
          <w:lang w:val="en-US" w:eastAsia="it-IT"/>
        </w:rPr>
        <w:t>Jungbunzlauer</w:t>
      </w:r>
      <w:r w:rsidR="001F7968">
        <w:rPr>
          <w:rFonts w:ascii="Times New Roman" w:eastAsia="Times New Roman" w:hAnsi="Times New Roman" w:cs="Times New Roman"/>
          <w:lang w:val="en-US" w:eastAsia="it-IT"/>
        </w:rPr>
        <w:t xml:space="preserve"> (</w:t>
      </w:r>
      <w:r w:rsidR="001F7968" w:rsidRPr="001F7968">
        <w:rPr>
          <w:rFonts w:ascii="Times New Roman" w:eastAsia="Times New Roman" w:hAnsi="Times New Roman" w:cs="Times New Roman"/>
          <w:lang w:val="en-US" w:eastAsia="it-IT"/>
        </w:rPr>
        <w:t>Wien</w:t>
      </w:r>
      <w:r w:rsidR="001F7968">
        <w:rPr>
          <w:rFonts w:ascii="Times New Roman" w:eastAsia="Times New Roman" w:hAnsi="Times New Roman" w:cs="Times New Roman"/>
          <w:lang w:val="en-US" w:eastAsia="it-IT"/>
        </w:rPr>
        <w:t>, Austria)</w:t>
      </w:r>
      <w:r w:rsidRPr="00BB66A8">
        <w:rPr>
          <w:rFonts w:ascii="Times New Roman" w:eastAsia="Times New Roman" w:hAnsi="Times New Roman" w:cs="Times New Roman"/>
          <w:lang w:val="en-US" w:eastAsia="it-IT"/>
        </w:rPr>
        <w:t xml:space="preserve">. Talc was purchased by Imerys Talc Italy S.p.A.. Eudragit® FS 30 D </w:t>
      </w:r>
      <w:r w:rsidR="001C3FFE" w:rsidRPr="001C3FFE">
        <w:rPr>
          <w:rFonts w:ascii="Times New Roman" w:eastAsia="Times New Roman" w:hAnsi="Times New Roman" w:cs="Times New Roman"/>
          <w:lang w:val="en-US" w:eastAsia="it-IT"/>
        </w:rPr>
        <w:t xml:space="preserve">was </w:t>
      </w:r>
      <w:r w:rsidR="00993687">
        <w:rPr>
          <w:rFonts w:ascii="Times New Roman" w:eastAsia="Times New Roman" w:hAnsi="Times New Roman" w:cs="Times New Roman"/>
          <w:lang w:val="en-US" w:eastAsia="it-IT"/>
        </w:rPr>
        <w:t>donated</w:t>
      </w:r>
      <w:r w:rsidR="001C3FFE" w:rsidRPr="001C3FFE">
        <w:rPr>
          <w:rFonts w:ascii="Times New Roman" w:eastAsia="Times New Roman" w:hAnsi="Times New Roman" w:cs="Times New Roman"/>
          <w:lang w:val="en-US" w:eastAsia="it-IT"/>
        </w:rPr>
        <w:t xml:space="preserve"> </w:t>
      </w:r>
      <w:r w:rsidR="009A1D5E">
        <w:rPr>
          <w:rFonts w:ascii="Times New Roman" w:eastAsia="Times New Roman" w:hAnsi="Times New Roman" w:cs="Times New Roman"/>
          <w:lang w:val="en-US" w:eastAsia="it-IT"/>
        </w:rPr>
        <w:t>by</w:t>
      </w:r>
      <w:r w:rsidRPr="00BB66A8">
        <w:rPr>
          <w:rFonts w:ascii="Times New Roman" w:eastAsia="Times New Roman" w:hAnsi="Times New Roman" w:cs="Times New Roman"/>
          <w:lang w:val="en-US" w:eastAsia="it-IT"/>
        </w:rPr>
        <w:t xml:space="preserve"> Evonik AG (Germany)</w:t>
      </w:r>
      <w:r w:rsidR="00F66416" w:rsidRPr="00BB66A8">
        <w:rPr>
          <w:rFonts w:ascii="Times New Roman" w:eastAsia="Times New Roman" w:hAnsi="Times New Roman" w:cs="Times New Roman"/>
          <w:lang w:val="en-US" w:eastAsia="it-IT"/>
        </w:rPr>
        <w:t xml:space="preserve">. </w:t>
      </w:r>
      <w:r w:rsidRPr="00BB66A8">
        <w:rPr>
          <w:rFonts w:ascii="Times New Roman" w:hAnsi="Times New Roman" w:cs="Times New Roman"/>
        </w:rPr>
        <w:t>For the analysis, distilled</w:t>
      </w:r>
      <w:r w:rsidR="00993687">
        <w:rPr>
          <w:rFonts w:ascii="Times New Roman" w:hAnsi="Times New Roman" w:cs="Times New Roman"/>
        </w:rPr>
        <w:t xml:space="preserve"> </w:t>
      </w:r>
      <w:r w:rsidRPr="00BB66A8">
        <w:rPr>
          <w:rFonts w:ascii="Times New Roman" w:hAnsi="Times New Roman" w:cs="Times New Roman"/>
        </w:rPr>
        <w:t>water (conductivity of 18.2 MΩ.cm at 23</w:t>
      </w:r>
      <w:r w:rsidR="00BE7B0E">
        <w:rPr>
          <w:rFonts w:ascii="Times New Roman" w:hAnsi="Times New Roman" w:cs="Times New Roman"/>
        </w:rPr>
        <w:t xml:space="preserve"> </w:t>
      </w:r>
      <w:r w:rsidR="002E39B0">
        <w:rPr>
          <w:rFonts w:ascii="Times New Roman" w:hAnsi="Times New Roman" w:cs="Times New Roman"/>
        </w:rPr>
        <w:t>°</w:t>
      </w:r>
      <w:r w:rsidRPr="00BB66A8">
        <w:rPr>
          <w:rFonts w:ascii="Times New Roman" w:hAnsi="Times New Roman" w:cs="Times New Roman"/>
        </w:rPr>
        <w:t>C) was obtained by the purification system Milli-Q (Purelab DI, MK2) (Elga, High Wycombe, UK).</w:t>
      </w:r>
    </w:p>
    <w:p w14:paraId="2B6D5AA7" w14:textId="77777777" w:rsidR="00A2620A" w:rsidRPr="00BB66A8" w:rsidRDefault="00A2620A" w:rsidP="00537322">
      <w:pPr>
        <w:pStyle w:val="Titolo3"/>
        <w:rPr>
          <w:rFonts w:ascii="Times New Roman" w:hAnsi="Times New Roman" w:cs="Times New Roman"/>
        </w:rPr>
      </w:pPr>
      <w:r w:rsidRPr="00BB66A8">
        <w:rPr>
          <w:rFonts w:ascii="Times New Roman" w:hAnsi="Times New Roman" w:cs="Times New Roman"/>
        </w:rPr>
        <w:t>Preparation of inclusion complex BD/HP-β-CD</w:t>
      </w:r>
    </w:p>
    <w:p w14:paraId="1D3B93DC" w14:textId="15561BD7" w:rsidR="00A2620A" w:rsidRPr="00BB66A8" w:rsidRDefault="00A2620A" w:rsidP="00226F27">
      <w:pPr>
        <w:widowControl w:val="0"/>
        <w:autoSpaceDE w:val="0"/>
        <w:autoSpaceDN w:val="0"/>
        <w:adjustRightInd w:val="0"/>
        <w:rPr>
          <w:rFonts w:ascii="Times New Roman" w:hAnsi="Times New Roman" w:cs="Times New Roman"/>
        </w:rPr>
      </w:pPr>
      <w:r w:rsidRPr="00BB66A8">
        <w:rPr>
          <w:rFonts w:ascii="Times New Roman" w:hAnsi="Times New Roman" w:cs="Times New Roman"/>
        </w:rPr>
        <w:t xml:space="preserve">The </w:t>
      </w:r>
      <w:bookmarkStart w:id="0" w:name="_Hlk117609659"/>
      <w:r w:rsidRPr="00BB66A8">
        <w:rPr>
          <w:rFonts w:ascii="Times New Roman" w:hAnsi="Times New Roman" w:cs="Times New Roman"/>
        </w:rPr>
        <w:t>BD/</w:t>
      </w:r>
      <w:bookmarkStart w:id="1" w:name="_Hlk99474193"/>
      <w:r w:rsidRPr="00BB66A8">
        <w:rPr>
          <w:rFonts w:ascii="Times New Roman" w:hAnsi="Times New Roman" w:cs="Times New Roman"/>
        </w:rPr>
        <w:t xml:space="preserve">HP-β-CD </w:t>
      </w:r>
      <w:bookmarkEnd w:id="0"/>
      <w:bookmarkEnd w:id="1"/>
      <w:r w:rsidRPr="00BB66A8">
        <w:rPr>
          <w:rFonts w:ascii="Times New Roman" w:hAnsi="Times New Roman" w:cs="Times New Roman"/>
        </w:rPr>
        <w:t>inclusion complex (IC) was prepared in a solid-state by freeze-drying (FD), according to a method previously adopted by Laquintana et al</w:t>
      </w:r>
      <w:r w:rsidR="002B7C27" w:rsidRPr="00BB66A8">
        <w:rPr>
          <w:rFonts w:ascii="Times New Roman" w:hAnsi="Times New Roman" w:cs="Times New Roman"/>
        </w:rPr>
        <w:t>.</w:t>
      </w:r>
      <w:r w:rsidR="005A44B2" w:rsidRPr="00BB66A8">
        <w:rPr>
          <w:rFonts w:ascii="Times New Roman" w:hAnsi="Times New Roman" w:cs="Times New Roman"/>
        </w:rPr>
        <w:t xml:space="preserve"> </w:t>
      </w:r>
      <w:r w:rsidR="005A44B2" w:rsidRPr="00BB66A8">
        <w:rPr>
          <w:rFonts w:ascii="Times New Roman" w:hAnsi="Times New Roman" w:cs="Times New Roman"/>
          <w:noProof/>
        </w:rPr>
        <w:t>(Laquintana et al., 2019)</w:t>
      </w:r>
      <w:r w:rsidRPr="00BB66A8">
        <w:rPr>
          <w:rFonts w:ascii="Times New Roman" w:hAnsi="Times New Roman" w:cs="Times New Roman"/>
        </w:rPr>
        <w:t>. Briefly, equimolar amounts of BD</w:t>
      </w:r>
      <w:r w:rsidR="001C3FFE">
        <w:rPr>
          <w:rFonts w:ascii="Times New Roman" w:hAnsi="Times New Roman" w:cs="Times New Roman"/>
        </w:rPr>
        <w:t xml:space="preserve"> </w:t>
      </w:r>
      <w:r w:rsidRPr="00BB66A8">
        <w:rPr>
          <w:rFonts w:ascii="Times New Roman" w:hAnsi="Times New Roman" w:cs="Times New Roman"/>
        </w:rPr>
        <w:t xml:space="preserve">and </w:t>
      </w:r>
      <w:bookmarkStart w:id="2" w:name="_Hlk99476459"/>
      <w:r w:rsidRPr="00BB66A8">
        <w:rPr>
          <w:rFonts w:ascii="Times New Roman" w:hAnsi="Times New Roman" w:cs="Times New Roman"/>
        </w:rPr>
        <w:t>HP-β-CD</w:t>
      </w:r>
      <w:bookmarkEnd w:id="2"/>
      <w:r w:rsidR="001C3FFE">
        <w:rPr>
          <w:rFonts w:ascii="Times New Roman" w:hAnsi="Times New Roman" w:cs="Times New Roman"/>
        </w:rPr>
        <w:t xml:space="preserve"> </w:t>
      </w:r>
      <w:r w:rsidRPr="00BB66A8">
        <w:rPr>
          <w:rFonts w:ascii="Times New Roman" w:hAnsi="Times New Roman" w:cs="Times New Roman"/>
        </w:rPr>
        <w:t xml:space="preserve">were added to 50 mL of water and the resulting </w:t>
      </w:r>
      <w:r w:rsidR="003239DD" w:rsidRPr="00BB66A8">
        <w:rPr>
          <w:rFonts w:ascii="Times New Roman" w:hAnsi="Times New Roman" w:cs="Times New Roman"/>
        </w:rPr>
        <w:t>suspension</w:t>
      </w:r>
      <w:r w:rsidRPr="00BB66A8">
        <w:rPr>
          <w:rFonts w:ascii="Times New Roman" w:hAnsi="Times New Roman" w:cs="Times New Roman"/>
        </w:rPr>
        <w:t xml:space="preserve"> was kept under constant agitation for three days in order to enable the IC formation. Subsequently, the suspension was filtered through 0.22 </w:t>
      </w:r>
      <w:bookmarkStart w:id="3" w:name="_Hlk99476589"/>
      <w:r w:rsidRPr="00BB66A8">
        <w:rPr>
          <w:rFonts w:ascii="Times New Roman" w:hAnsi="Times New Roman" w:cs="Times New Roman"/>
        </w:rPr>
        <w:t>µm</w:t>
      </w:r>
      <w:bookmarkEnd w:id="3"/>
      <w:r w:rsidRPr="00BB66A8">
        <w:rPr>
          <w:rFonts w:ascii="Times New Roman" w:hAnsi="Times New Roman" w:cs="Times New Roman"/>
        </w:rPr>
        <w:t xml:space="preserve"> cellulose acetate filters </w:t>
      </w:r>
      <w:bookmarkStart w:id="4" w:name="_Hlk99476611"/>
      <w:r w:rsidRPr="00BB66A8">
        <w:rPr>
          <w:rFonts w:ascii="Times New Roman" w:hAnsi="Times New Roman" w:cs="Times New Roman"/>
        </w:rPr>
        <w:t>(Millipore®)</w:t>
      </w:r>
      <w:bookmarkEnd w:id="4"/>
      <w:r w:rsidRPr="00BB66A8">
        <w:rPr>
          <w:rFonts w:ascii="Times New Roman" w:hAnsi="Times New Roman" w:cs="Times New Roman"/>
        </w:rPr>
        <w:t xml:space="preserve">, then frozen and </w:t>
      </w:r>
      <w:r w:rsidRPr="00B7645C">
        <w:rPr>
          <w:rFonts w:ascii="Times New Roman" w:hAnsi="Times New Roman" w:cs="Times New Roman"/>
          <w:color w:val="222222"/>
          <w:shd w:val="clear" w:color="auto" w:fill="FFFFFF"/>
        </w:rPr>
        <w:t>lyophilized</w:t>
      </w:r>
      <w:r w:rsidRPr="00BB66A8">
        <w:rPr>
          <w:rFonts w:ascii="Times New Roman" w:hAnsi="Times New Roman" w:cs="Times New Roman"/>
          <w:color w:val="222222"/>
          <w:shd w:val="clear" w:color="auto" w:fill="FFFFFF"/>
        </w:rPr>
        <w:t xml:space="preserve"> </w:t>
      </w:r>
      <w:r w:rsidR="00B7645C" w:rsidRPr="00B7645C">
        <w:rPr>
          <w:rFonts w:ascii="Times New Roman" w:hAnsi="Times New Roman" w:cs="Times New Roman"/>
          <w:color w:val="222222"/>
          <w:shd w:val="clear" w:color="auto" w:fill="FFFFFF"/>
        </w:rPr>
        <w:t>at a pressure of 0.00</w:t>
      </w:r>
      <w:r w:rsidR="00844797">
        <w:rPr>
          <w:rFonts w:ascii="Times New Roman" w:hAnsi="Times New Roman" w:cs="Times New Roman"/>
          <w:color w:val="222222"/>
          <w:shd w:val="clear" w:color="auto" w:fill="FFFFFF"/>
        </w:rPr>
        <w:t>60</w:t>
      </w:r>
      <w:r w:rsidR="00B7645C" w:rsidRPr="00B7645C">
        <w:rPr>
          <w:rFonts w:ascii="Times New Roman" w:hAnsi="Times New Roman" w:cs="Times New Roman"/>
          <w:color w:val="222222"/>
          <w:shd w:val="clear" w:color="auto" w:fill="FFFFFF"/>
        </w:rPr>
        <w:t xml:space="preserve"> bar and a temperature of -5</w:t>
      </w:r>
      <w:r w:rsidR="00993687">
        <w:rPr>
          <w:rFonts w:ascii="Times New Roman" w:hAnsi="Times New Roman" w:cs="Times New Roman"/>
          <w:color w:val="222222"/>
          <w:shd w:val="clear" w:color="auto" w:fill="FFFFFF"/>
        </w:rPr>
        <w:t>0</w:t>
      </w:r>
      <w:r w:rsidR="00BE7B0E">
        <w:rPr>
          <w:rFonts w:ascii="Times New Roman" w:hAnsi="Times New Roman" w:cs="Times New Roman"/>
          <w:color w:val="222222"/>
          <w:shd w:val="clear" w:color="auto" w:fill="FFFFFF"/>
        </w:rPr>
        <w:t xml:space="preserve"> </w:t>
      </w:r>
      <w:r w:rsidR="000A4E02">
        <w:rPr>
          <w:rFonts w:ascii="Times New Roman" w:hAnsi="Times New Roman" w:cs="Times New Roman"/>
          <w:color w:val="222222"/>
          <w:shd w:val="clear" w:color="auto" w:fill="FFFFFF"/>
        </w:rPr>
        <w:t>°</w:t>
      </w:r>
      <w:r w:rsidR="00B7645C" w:rsidRPr="00B7645C">
        <w:rPr>
          <w:rFonts w:ascii="Times New Roman" w:hAnsi="Times New Roman" w:cs="Times New Roman"/>
          <w:color w:val="222222"/>
          <w:shd w:val="clear" w:color="auto" w:fill="FFFFFF"/>
        </w:rPr>
        <w:t xml:space="preserve">C </w:t>
      </w:r>
      <w:r w:rsidRPr="00BB66A8">
        <w:rPr>
          <w:rFonts w:ascii="Times New Roman" w:hAnsi="Times New Roman" w:cs="Times New Roman"/>
          <w:color w:val="222222"/>
          <w:shd w:val="clear" w:color="auto" w:fill="FFFFFF"/>
        </w:rPr>
        <w:t>(Lio 5P, Milan, Italy)</w:t>
      </w:r>
      <w:r w:rsidRPr="00BB66A8">
        <w:rPr>
          <w:rFonts w:ascii="Times New Roman" w:hAnsi="Times New Roman" w:cs="Times New Roman"/>
        </w:rPr>
        <w:t xml:space="preserve">. </w:t>
      </w:r>
    </w:p>
    <w:p w14:paraId="11A41493" w14:textId="77777777" w:rsidR="00A2620A" w:rsidRPr="00BB66A8" w:rsidRDefault="00A2620A" w:rsidP="00537322">
      <w:pPr>
        <w:pStyle w:val="Titolo3"/>
        <w:rPr>
          <w:rFonts w:ascii="Times New Roman" w:hAnsi="Times New Roman" w:cs="Times New Roman"/>
        </w:rPr>
      </w:pPr>
      <w:r w:rsidRPr="00BB66A8">
        <w:rPr>
          <w:rFonts w:ascii="Times New Roman" w:hAnsi="Times New Roman" w:cs="Times New Roman"/>
        </w:rPr>
        <w:t>Determination of the BD loading degree in the inclusion complex</w:t>
      </w:r>
    </w:p>
    <w:p w14:paraId="07504BCB" w14:textId="300B1DD6" w:rsidR="00A2620A" w:rsidRPr="00BB66A8" w:rsidRDefault="00AF2C86" w:rsidP="00804C6D">
      <w:pPr>
        <w:rPr>
          <w:rFonts w:ascii="Times New Roman" w:hAnsi="Times New Roman" w:cs="Times New Roman"/>
        </w:rPr>
      </w:pPr>
      <w:r w:rsidRPr="00BB66A8">
        <w:rPr>
          <w:rFonts w:ascii="Times New Roman" w:hAnsi="Times New Roman" w:cs="Times New Roman"/>
        </w:rPr>
        <w:t xml:space="preserve">The amount of BD loaded into IC was determined by high-pressure liquid chromatography (HPLC) analysis, using an Agilent 1260 Infinity quaternary LC system equipped with an Agilent variable wavelength UV detector, a Rheodyne injector (Rheodyne, model 7725i) fitted with a 20 µL loop, and OpenLAB CDS ChemStation software (Agilent, Santa Clara, CA). </w:t>
      </w:r>
      <w:r w:rsidR="00A2620A" w:rsidRPr="00BB66A8">
        <w:rPr>
          <w:rFonts w:ascii="Times New Roman" w:hAnsi="Times New Roman" w:cs="Times New Roman"/>
        </w:rPr>
        <w:t xml:space="preserve">For </w:t>
      </w:r>
      <w:r w:rsidRPr="00BB66A8">
        <w:rPr>
          <w:rFonts w:ascii="Times New Roman" w:hAnsi="Times New Roman" w:cs="Times New Roman"/>
        </w:rPr>
        <w:t>evaluation</w:t>
      </w:r>
      <w:r w:rsidR="00A2620A" w:rsidRPr="00BB66A8">
        <w:rPr>
          <w:rFonts w:ascii="Times New Roman" w:hAnsi="Times New Roman" w:cs="Times New Roman"/>
        </w:rPr>
        <w:t>, a Zorbax C18 column (150 mm × 4 mm; 5 µm particles) was eluted in isocratic mode with a mixture of methanol and a solution of 0.1%</w:t>
      </w:r>
      <w:r w:rsidR="00E20E4F" w:rsidRPr="00E20E4F">
        <w:t xml:space="preserve"> </w:t>
      </w:r>
      <w:r w:rsidR="00E20E4F" w:rsidRPr="00E20E4F">
        <w:rPr>
          <w:rFonts w:ascii="Times New Roman" w:hAnsi="Times New Roman" w:cs="Times New Roman"/>
        </w:rPr>
        <w:t>trifluoroacetic acid</w:t>
      </w:r>
      <w:r w:rsidR="00A2620A" w:rsidRPr="00BB66A8">
        <w:rPr>
          <w:rFonts w:ascii="Times New Roman" w:hAnsi="Times New Roman" w:cs="Times New Roman"/>
        </w:rPr>
        <w:t xml:space="preserve"> </w:t>
      </w:r>
      <w:r w:rsidR="00E20E4F">
        <w:rPr>
          <w:rFonts w:ascii="Times New Roman" w:hAnsi="Times New Roman" w:cs="Times New Roman"/>
        </w:rPr>
        <w:t>(</w:t>
      </w:r>
      <w:r w:rsidR="00A2620A" w:rsidRPr="00BB66A8">
        <w:rPr>
          <w:rFonts w:ascii="Times New Roman" w:hAnsi="Times New Roman" w:cs="Times New Roman"/>
        </w:rPr>
        <w:t>TFA</w:t>
      </w:r>
      <w:r w:rsidR="00E20E4F">
        <w:rPr>
          <w:rFonts w:ascii="Times New Roman" w:hAnsi="Times New Roman" w:cs="Times New Roman"/>
        </w:rPr>
        <w:t>)</w:t>
      </w:r>
      <w:r w:rsidR="00A2620A" w:rsidRPr="00BB66A8">
        <w:rPr>
          <w:rFonts w:ascii="Times New Roman" w:hAnsi="Times New Roman" w:cs="Times New Roman"/>
        </w:rPr>
        <w:t xml:space="preserve"> in deionized water (70:30 v/v), constantly monitoring the eluent at 254 nm. A flow rate of 1 m</w:t>
      </w:r>
      <w:r w:rsidR="0058427D">
        <w:rPr>
          <w:rFonts w:ascii="Times New Roman" w:hAnsi="Times New Roman" w:cs="Times New Roman"/>
        </w:rPr>
        <w:t>L</w:t>
      </w:r>
      <w:r w:rsidR="00A2620A" w:rsidRPr="00BB66A8">
        <w:rPr>
          <w:rFonts w:ascii="Times New Roman" w:hAnsi="Times New Roman" w:cs="Times New Roman"/>
        </w:rPr>
        <w:t>/min and a column temperature of 35</w:t>
      </w:r>
      <w:r w:rsidR="00BE7B0E">
        <w:rPr>
          <w:rFonts w:ascii="Times New Roman" w:hAnsi="Times New Roman" w:cs="Times New Roman"/>
        </w:rPr>
        <w:t xml:space="preserve"> </w:t>
      </w:r>
      <w:r w:rsidR="00A2620A" w:rsidRPr="00BB66A8">
        <w:rPr>
          <w:rFonts w:ascii="Times New Roman" w:hAnsi="Times New Roman" w:cs="Times New Roman"/>
        </w:rPr>
        <w:t>°C were utilized, resulting in the elution of the drug at a time of 15 min.</w:t>
      </w:r>
      <w:r w:rsidR="00A2620A" w:rsidRPr="00BB66A8">
        <w:rPr>
          <w:rFonts w:ascii="Times New Roman" w:hAnsi="Times New Roman" w:cs="Times New Roman"/>
          <w:color w:val="2E2E2E"/>
          <w:sz w:val="27"/>
          <w:szCs w:val="27"/>
        </w:rPr>
        <w:t xml:space="preserve"> </w:t>
      </w:r>
      <w:r w:rsidR="00A2620A" w:rsidRPr="00BB66A8">
        <w:rPr>
          <w:rFonts w:ascii="Times New Roman" w:hAnsi="Times New Roman" w:cs="Times New Roman"/>
        </w:rPr>
        <w:t>The data analysis was processed using Agilent OpenLab LC software.</w:t>
      </w:r>
    </w:p>
    <w:p w14:paraId="2E785D79" w14:textId="00FC7ED2" w:rsidR="00A2620A" w:rsidRPr="00BB66A8" w:rsidRDefault="00A2620A" w:rsidP="00804C6D">
      <w:pPr>
        <w:rPr>
          <w:rFonts w:ascii="Times New Roman" w:hAnsi="Times New Roman" w:cs="Times New Roman"/>
        </w:rPr>
      </w:pPr>
      <w:r w:rsidRPr="00BB66A8">
        <w:rPr>
          <w:rFonts w:ascii="Times New Roman" w:hAnsi="Times New Roman" w:cs="Times New Roman"/>
        </w:rPr>
        <w:t xml:space="preserve">In the first step, a calibration </w:t>
      </w:r>
      <w:r w:rsidR="00FA4DCC">
        <w:rPr>
          <w:rFonts w:ascii="Times New Roman" w:hAnsi="Times New Roman" w:cs="Times New Roman"/>
        </w:rPr>
        <w:t>curve</w:t>
      </w:r>
      <w:r w:rsidRPr="00BB66A8">
        <w:rPr>
          <w:rFonts w:ascii="Times New Roman" w:hAnsi="Times New Roman" w:cs="Times New Roman"/>
        </w:rPr>
        <w:t xml:space="preserve"> was performed </w:t>
      </w:r>
      <w:r w:rsidR="00FA4DCC">
        <w:rPr>
          <w:rFonts w:ascii="Times New Roman" w:hAnsi="Times New Roman" w:cs="Times New Roman"/>
        </w:rPr>
        <w:t>i</w:t>
      </w:r>
      <w:r w:rsidRPr="00BB66A8">
        <w:rPr>
          <w:rFonts w:ascii="Times New Roman" w:hAnsi="Times New Roman" w:cs="Times New Roman"/>
        </w:rPr>
        <w:t xml:space="preserve">n the range </w:t>
      </w:r>
      <w:r w:rsidR="00FA4DCC">
        <w:rPr>
          <w:rFonts w:ascii="Times New Roman" w:hAnsi="Times New Roman" w:cs="Times New Roman"/>
        </w:rPr>
        <w:t xml:space="preserve">of </w:t>
      </w:r>
      <w:r w:rsidRPr="00BB66A8">
        <w:rPr>
          <w:rFonts w:ascii="Times New Roman" w:hAnsi="Times New Roman" w:cs="Times New Roman"/>
        </w:rPr>
        <w:t>0.000991 mg/m</w:t>
      </w:r>
      <w:r w:rsidR="00E20E4F">
        <w:rPr>
          <w:rFonts w:ascii="Times New Roman" w:hAnsi="Times New Roman" w:cs="Times New Roman"/>
        </w:rPr>
        <w:t>L</w:t>
      </w:r>
      <w:r w:rsidR="00FA4DCC">
        <w:rPr>
          <w:rFonts w:ascii="Times New Roman" w:hAnsi="Times New Roman" w:cs="Times New Roman"/>
        </w:rPr>
        <w:t>-</w:t>
      </w:r>
      <w:r w:rsidRPr="00BB66A8">
        <w:rPr>
          <w:rFonts w:ascii="Times New Roman" w:hAnsi="Times New Roman" w:cs="Times New Roman"/>
        </w:rPr>
        <w:t>0.0991 mg/m</w:t>
      </w:r>
      <w:r w:rsidR="00E20E4F">
        <w:rPr>
          <w:rFonts w:ascii="Times New Roman" w:hAnsi="Times New Roman" w:cs="Times New Roman"/>
        </w:rPr>
        <w:t>L</w:t>
      </w:r>
      <w:r w:rsidRPr="00BB66A8">
        <w:rPr>
          <w:rFonts w:ascii="Times New Roman" w:hAnsi="Times New Roman" w:cs="Times New Roman"/>
        </w:rPr>
        <w:t xml:space="preserve">, </w:t>
      </w:r>
      <w:r w:rsidR="00FA4DCC">
        <w:rPr>
          <w:rFonts w:ascii="Times New Roman" w:hAnsi="Times New Roman" w:cs="Times New Roman"/>
        </w:rPr>
        <w:t xml:space="preserve">and </w:t>
      </w:r>
      <w:r w:rsidRPr="00BB66A8">
        <w:rPr>
          <w:rFonts w:ascii="Times New Roman" w:hAnsi="Times New Roman" w:cs="Times New Roman"/>
        </w:rPr>
        <w:t>a linear plot (R</w:t>
      </w:r>
      <w:r w:rsidRPr="00BB66A8">
        <w:rPr>
          <w:rFonts w:ascii="Times New Roman" w:hAnsi="Times New Roman" w:cs="Times New Roman"/>
          <w:vertAlign w:val="superscript"/>
        </w:rPr>
        <w:t>2</w:t>
      </w:r>
      <w:r w:rsidRPr="00BB66A8">
        <w:rPr>
          <w:rFonts w:ascii="Times New Roman" w:hAnsi="Times New Roman" w:cs="Times New Roman"/>
        </w:rPr>
        <w:t>= 0.9999) was produced.</w:t>
      </w:r>
    </w:p>
    <w:p w14:paraId="5AA6C3AC" w14:textId="64E2CFF0" w:rsidR="00A2620A" w:rsidRPr="00BB66A8" w:rsidRDefault="00F276FF" w:rsidP="00DA6BEC">
      <w:pPr>
        <w:rPr>
          <w:rFonts w:ascii="Times New Roman" w:hAnsi="Times New Roman" w:cs="Times New Roman"/>
        </w:rPr>
      </w:pPr>
      <w:r w:rsidRPr="00BB66A8">
        <w:rPr>
          <w:rFonts w:ascii="Times New Roman" w:hAnsi="Times New Roman" w:cs="Times New Roman"/>
        </w:rPr>
        <w:t>For quantitative analysis, samples were obtained by accurately weighing 100 mg of lyophilized product, which was then solubilized in 25 m</w:t>
      </w:r>
      <w:r w:rsidR="00E20E4F">
        <w:rPr>
          <w:rFonts w:ascii="Times New Roman" w:hAnsi="Times New Roman" w:cs="Times New Roman"/>
        </w:rPr>
        <w:t>L</w:t>
      </w:r>
      <w:r w:rsidRPr="00BB66A8">
        <w:rPr>
          <w:rFonts w:ascii="Times New Roman" w:hAnsi="Times New Roman" w:cs="Times New Roman"/>
        </w:rPr>
        <w:t xml:space="preserve"> of deionized water and filtered through 0.22 µm cellulose acetate filters</w:t>
      </w:r>
      <w:r w:rsidR="00CA1AC9" w:rsidRPr="00BB66A8">
        <w:rPr>
          <w:rFonts w:ascii="Times New Roman" w:hAnsi="Times New Roman" w:cs="Times New Roman"/>
        </w:rPr>
        <w:t xml:space="preserve"> </w:t>
      </w:r>
      <w:r w:rsidR="00A2620A" w:rsidRPr="00BB66A8">
        <w:rPr>
          <w:rFonts w:ascii="Times New Roman" w:hAnsi="Times New Roman" w:cs="Times New Roman"/>
        </w:rPr>
        <w:t>(Millipore®). Finally, the samples were injected into the HPLC, after appropriate dilution. The BD loading degree into the IC was determined from the area of the resulting peaks and expressed in terms of encapsulation efficiency (%EE)</w:t>
      </w:r>
      <w:r w:rsidR="00C32C99">
        <w:rPr>
          <w:rFonts w:ascii="Times New Roman" w:hAnsi="Times New Roman" w:cs="Times New Roman"/>
        </w:rPr>
        <w:t xml:space="preserve"> </w:t>
      </w:r>
      <w:r w:rsidR="00C32C99" w:rsidRPr="00C32C99">
        <w:rPr>
          <w:rFonts w:ascii="Times New Roman" w:hAnsi="Times New Roman" w:cs="Times New Roman"/>
          <w:noProof/>
        </w:rPr>
        <w:t>(Arduino et al., 2021)</w:t>
      </w:r>
      <w:r w:rsidR="00A2620A" w:rsidRPr="00BB66A8">
        <w:rPr>
          <w:rFonts w:ascii="Times New Roman" w:hAnsi="Times New Roman" w:cs="Times New Roman"/>
        </w:rPr>
        <w:t xml:space="preserve">, calculated using the following </w:t>
      </w:r>
      <w:r w:rsidRPr="00BB66A8">
        <w:rPr>
          <w:rFonts w:ascii="Times New Roman" w:hAnsi="Times New Roman" w:cs="Times New Roman"/>
        </w:rPr>
        <w:t>equation</w:t>
      </w:r>
      <w:r w:rsidR="00A2620A" w:rsidRPr="00BB66A8">
        <w:rPr>
          <w:rFonts w:ascii="Times New Roman" w:hAnsi="Times New Roman" w:cs="Times New Roman"/>
        </w:rPr>
        <w:t xml:space="preserve">:  </w:t>
      </w:r>
    </w:p>
    <w:p w14:paraId="7C2378AF" w14:textId="4EA9700C" w:rsidR="00A2620A" w:rsidRPr="00FA4DCC" w:rsidRDefault="00A2620A" w:rsidP="00DA6BEC">
      <w:pPr>
        <w:rPr>
          <w:rFonts w:ascii="Times New Roman" w:eastAsiaTheme="minorEastAsia" w:hAnsi="Times New Roman" w:cs="Times New Roman"/>
        </w:rPr>
      </w:pPr>
      <m:oMathPara>
        <m:oMath>
          <m:r>
            <w:rPr>
              <w:rFonts w:ascii="Cambria Math" w:hAnsi="Cambria Math" w:cs="Times New Roman"/>
            </w:rPr>
            <m:t>%EE=</m:t>
          </m:r>
          <m:f>
            <m:fPr>
              <m:ctrlPr>
                <w:rPr>
                  <w:rFonts w:ascii="Cambria Math" w:hAnsi="Cambria Math" w:cs="Times New Roman"/>
                  <w:i/>
                </w:rPr>
              </m:ctrlPr>
            </m:fPr>
            <m:num>
              <m:r>
                <w:rPr>
                  <w:rFonts w:ascii="Cambria Math" w:hAnsi="Cambria Math" w:cs="Times New Roman"/>
                </w:rPr>
                <m:t>Amount of encapsulated BD</m:t>
              </m:r>
            </m:num>
            <m:den>
              <m:r>
                <w:rPr>
                  <w:rFonts w:ascii="Cambria Math" w:hAnsi="Cambria Math" w:cs="Times New Roman"/>
                </w:rPr>
                <m:t>Amount of BD initially added</m:t>
              </m:r>
            </m:den>
          </m:f>
          <m:r>
            <w:rPr>
              <w:rFonts w:ascii="Cambria Math" w:hAnsi="Cambria Math" w:cs="Times New Roman"/>
            </w:rPr>
            <m:t xml:space="preserve"> x 100</m:t>
          </m:r>
        </m:oMath>
      </m:oMathPara>
    </w:p>
    <w:p w14:paraId="37C321A1" w14:textId="77777777" w:rsidR="00FA4DCC" w:rsidRPr="00FA4DCC" w:rsidRDefault="00FA4DCC" w:rsidP="00DA6BEC">
      <w:pPr>
        <w:rPr>
          <w:rFonts w:ascii="Times New Roman" w:eastAsiaTheme="minorEastAsia" w:hAnsi="Times New Roman" w:cs="Times New Roman"/>
        </w:rPr>
      </w:pPr>
    </w:p>
    <w:p w14:paraId="77D9C08A" w14:textId="77777777" w:rsidR="00A2620A" w:rsidRPr="00BB66A8" w:rsidRDefault="00A2620A" w:rsidP="00537322">
      <w:pPr>
        <w:pStyle w:val="Titolo3"/>
        <w:rPr>
          <w:rFonts w:ascii="Times New Roman" w:hAnsi="Times New Roman" w:cs="Times New Roman"/>
        </w:rPr>
      </w:pPr>
      <w:r w:rsidRPr="00BB66A8">
        <w:rPr>
          <w:rFonts w:ascii="Times New Roman" w:hAnsi="Times New Roman" w:cs="Times New Roman"/>
        </w:rPr>
        <w:t>Preparation of powder mixtures</w:t>
      </w:r>
    </w:p>
    <w:p w14:paraId="3BF70EEB" w14:textId="1BA3EB60" w:rsidR="002306E2" w:rsidRPr="00BB66A8" w:rsidRDefault="00A2620A" w:rsidP="00AB09A1">
      <w:pPr>
        <w:rPr>
          <w:rFonts w:ascii="Times New Roman" w:hAnsi="Times New Roman" w:cs="Times New Roman"/>
        </w:rPr>
      </w:pPr>
      <w:r w:rsidRPr="00BB66A8">
        <w:rPr>
          <w:rFonts w:ascii="Times New Roman" w:hAnsi="Times New Roman" w:cs="Times New Roman"/>
        </w:rPr>
        <w:t xml:space="preserve">Three powder mixtures </w:t>
      </w:r>
      <w:r w:rsidR="007372D1" w:rsidRPr="00BB66A8">
        <w:rPr>
          <w:rFonts w:ascii="Times New Roman" w:hAnsi="Times New Roman" w:cs="Times New Roman"/>
        </w:rPr>
        <w:t>(</w:t>
      </w:r>
      <w:r w:rsidR="007372D1" w:rsidRPr="00BB66A8">
        <w:rPr>
          <w:rFonts w:ascii="Times New Roman" w:hAnsi="Times New Roman" w:cs="Times New Roman"/>
          <w:color w:val="auto"/>
        </w:rPr>
        <w:t>MixBD</w:t>
      </w:r>
      <w:r w:rsidR="007372D1" w:rsidRPr="00BB66A8">
        <w:rPr>
          <w:rFonts w:ascii="Times New Roman" w:hAnsi="Times New Roman" w:cs="Times New Roman"/>
        </w:rPr>
        <w:t xml:space="preserve">, </w:t>
      </w:r>
      <w:r w:rsidR="007372D1" w:rsidRPr="00BB66A8">
        <w:rPr>
          <w:rFonts w:ascii="Times New Roman" w:hAnsi="Times New Roman" w:cs="Times New Roman"/>
          <w:color w:val="auto"/>
        </w:rPr>
        <w:t>MixBD-CD</w:t>
      </w:r>
      <w:r w:rsidR="000E7771">
        <w:rPr>
          <w:rFonts w:ascii="Times New Roman" w:hAnsi="Times New Roman" w:cs="Times New Roman"/>
          <w:color w:val="auto"/>
        </w:rPr>
        <w:t>,</w:t>
      </w:r>
      <w:r w:rsidR="007372D1" w:rsidRPr="00BB66A8">
        <w:rPr>
          <w:rFonts w:ascii="Times New Roman" w:hAnsi="Times New Roman" w:cs="Times New Roman"/>
          <w:color w:val="auto"/>
        </w:rPr>
        <w:t xml:space="preserve"> and MixIC</w:t>
      </w:r>
      <w:r w:rsidR="007372D1" w:rsidRPr="00BB66A8">
        <w:rPr>
          <w:rFonts w:ascii="Times New Roman" w:hAnsi="Times New Roman" w:cs="Times New Roman"/>
        </w:rPr>
        <w:t xml:space="preserve">) </w:t>
      </w:r>
      <w:r w:rsidRPr="00BB66A8">
        <w:rPr>
          <w:rFonts w:ascii="Times New Roman" w:hAnsi="Times New Roman" w:cs="Times New Roman"/>
        </w:rPr>
        <w:t xml:space="preserve">containing the same </w:t>
      </w:r>
      <w:r w:rsidR="00E20E4F">
        <w:rPr>
          <w:rFonts w:ascii="Times New Roman" w:hAnsi="Times New Roman" w:cs="Times New Roman"/>
        </w:rPr>
        <w:t xml:space="preserve">drug </w:t>
      </w:r>
      <w:r w:rsidRPr="00BB66A8">
        <w:rPr>
          <w:rFonts w:ascii="Times New Roman" w:hAnsi="Times New Roman" w:cs="Times New Roman"/>
        </w:rPr>
        <w:t>quantitative percentage (</w:t>
      </w:r>
      <w:r w:rsidR="00A05FEB">
        <w:rPr>
          <w:rFonts w:ascii="Times New Roman" w:hAnsi="Times New Roman" w:cs="Times New Roman"/>
        </w:rPr>
        <w:t xml:space="preserve">0.59 </w:t>
      </w:r>
      <w:r w:rsidRPr="00BB66A8">
        <w:rPr>
          <w:rFonts w:ascii="Times New Roman" w:hAnsi="Times New Roman" w:cs="Times New Roman"/>
        </w:rPr>
        <w:t>% w/w) and different polymer ratios were prepared</w:t>
      </w:r>
      <w:r w:rsidR="00E91004" w:rsidRPr="00BB66A8">
        <w:rPr>
          <w:rFonts w:ascii="Times New Roman" w:hAnsi="Times New Roman" w:cs="Times New Roman"/>
        </w:rPr>
        <w:t xml:space="preserve">. An adjuvant blend, </w:t>
      </w:r>
      <w:r w:rsidR="007B4041" w:rsidRPr="00BB66A8">
        <w:rPr>
          <w:rFonts w:ascii="Times New Roman" w:hAnsi="Times New Roman" w:cs="Times New Roman"/>
        </w:rPr>
        <w:t>denoted</w:t>
      </w:r>
      <w:r w:rsidR="00E91004" w:rsidRPr="00BB66A8">
        <w:rPr>
          <w:rFonts w:ascii="Times New Roman" w:hAnsi="Times New Roman" w:cs="Times New Roman"/>
        </w:rPr>
        <w:t xml:space="preserve"> AB</w:t>
      </w:r>
      <w:r w:rsidR="007B4041" w:rsidRPr="00BB66A8">
        <w:rPr>
          <w:rFonts w:ascii="Times New Roman" w:hAnsi="Times New Roman" w:cs="Times New Roman"/>
        </w:rPr>
        <w:t>,</w:t>
      </w:r>
      <w:r w:rsidR="00E91004" w:rsidRPr="00BB66A8">
        <w:rPr>
          <w:rFonts w:ascii="Times New Roman" w:hAnsi="Times New Roman" w:cs="Times New Roman"/>
        </w:rPr>
        <w:t xml:space="preserve"> and consisting of citric acid/tartaric acid/sodium bicarbonate in a </w:t>
      </w:r>
      <w:r w:rsidR="00A05FEB" w:rsidRPr="00A05FEB">
        <w:rPr>
          <w:rFonts w:ascii="Times New Roman" w:hAnsi="Times New Roman" w:cs="Times New Roman"/>
        </w:rPr>
        <w:t xml:space="preserve">weight </w:t>
      </w:r>
      <w:r w:rsidR="00E91004" w:rsidRPr="00BB66A8">
        <w:rPr>
          <w:rFonts w:ascii="Times New Roman" w:hAnsi="Times New Roman" w:cs="Times New Roman"/>
        </w:rPr>
        <w:t>ratio of 1</w:t>
      </w:r>
      <w:r w:rsidR="00A05FEB">
        <w:rPr>
          <w:rFonts w:ascii="Times New Roman" w:hAnsi="Times New Roman" w:cs="Times New Roman"/>
        </w:rPr>
        <w:t>:</w:t>
      </w:r>
      <w:r w:rsidR="00E91004" w:rsidRPr="00BB66A8">
        <w:rPr>
          <w:rFonts w:ascii="Times New Roman" w:hAnsi="Times New Roman" w:cs="Times New Roman"/>
        </w:rPr>
        <w:t>2</w:t>
      </w:r>
      <w:r w:rsidR="00A05FEB">
        <w:rPr>
          <w:rFonts w:ascii="Times New Roman" w:hAnsi="Times New Roman" w:cs="Times New Roman"/>
        </w:rPr>
        <w:t>:</w:t>
      </w:r>
      <w:r w:rsidR="00E91004" w:rsidRPr="00BB66A8">
        <w:rPr>
          <w:rFonts w:ascii="Times New Roman" w:hAnsi="Times New Roman" w:cs="Times New Roman"/>
        </w:rPr>
        <w:t>3.4</w:t>
      </w:r>
      <w:r w:rsidR="00A05FEB">
        <w:rPr>
          <w:rFonts w:ascii="Times New Roman" w:hAnsi="Times New Roman" w:cs="Times New Roman"/>
        </w:rPr>
        <w:t xml:space="preserve">, </w:t>
      </w:r>
      <w:r w:rsidR="00E91004" w:rsidRPr="00BB66A8">
        <w:rPr>
          <w:rFonts w:ascii="Times New Roman" w:hAnsi="Times New Roman" w:cs="Times New Roman"/>
        </w:rPr>
        <w:t>was present in all mixtures.</w:t>
      </w:r>
      <w:r w:rsidR="007B4041" w:rsidRPr="00BB66A8">
        <w:rPr>
          <w:rFonts w:ascii="Times New Roman" w:hAnsi="Times New Roman" w:cs="Times New Roman"/>
        </w:rPr>
        <w:t xml:space="preserve"> </w:t>
      </w:r>
      <w:r w:rsidRPr="00BB66A8">
        <w:rPr>
          <w:rFonts w:ascii="Times New Roman" w:hAnsi="Times New Roman" w:cs="Times New Roman"/>
        </w:rPr>
        <w:t>A</w:t>
      </w:r>
      <w:r w:rsidR="007B4041" w:rsidRPr="00BB66A8">
        <w:rPr>
          <w:rFonts w:ascii="Times New Roman" w:hAnsi="Times New Roman" w:cs="Times New Roman"/>
        </w:rPr>
        <w:t>B</w:t>
      </w:r>
      <w:r w:rsidRPr="00BB66A8">
        <w:rPr>
          <w:rFonts w:ascii="Times New Roman" w:hAnsi="Times New Roman" w:cs="Times New Roman"/>
        </w:rPr>
        <w:t xml:space="preserve"> had been previously prepared and then combined with the othe</w:t>
      </w:r>
      <w:r w:rsidR="000B3841" w:rsidRPr="00BB66A8">
        <w:rPr>
          <w:rFonts w:ascii="Times New Roman" w:hAnsi="Times New Roman" w:cs="Times New Roman"/>
        </w:rPr>
        <w:t>r</w:t>
      </w:r>
      <w:r w:rsidRPr="00BB66A8">
        <w:rPr>
          <w:rFonts w:ascii="Times New Roman" w:hAnsi="Times New Roman" w:cs="Times New Roman"/>
        </w:rPr>
        <w:t xml:space="preserve"> </w:t>
      </w:r>
      <w:r w:rsidR="004455F4" w:rsidRPr="00BB66A8">
        <w:rPr>
          <w:rFonts w:ascii="Times New Roman" w:hAnsi="Times New Roman" w:cs="Times New Roman"/>
        </w:rPr>
        <w:t xml:space="preserve">selected </w:t>
      </w:r>
      <w:r w:rsidRPr="00BB66A8">
        <w:rPr>
          <w:rFonts w:ascii="Times New Roman" w:hAnsi="Times New Roman" w:cs="Times New Roman"/>
        </w:rPr>
        <w:t xml:space="preserve">polymers for the composition of the mixtures. </w:t>
      </w:r>
      <w:r w:rsidR="0075467A" w:rsidRPr="0075467A">
        <w:rPr>
          <w:rFonts w:ascii="Times New Roman" w:hAnsi="Times New Roman" w:cs="Times New Roman"/>
        </w:rPr>
        <w:t>The salt and the two acids were carefully weighed, mixed with a mortar and pestle, placed in an oven at 37 °C, and finally stored in a desiccator until used</w:t>
      </w:r>
      <w:r w:rsidRPr="00BB66A8">
        <w:rPr>
          <w:rFonts w:ascii="Times New Roman" w:hAnsi="Times New Roman" w:cs="Times New Roman"/>
        </w:rPr>
        <w:t>. A cellulose derivative, Affinisol HPMC HME 15 LV, was selected as the carrier polymer of the three mixtures and PEG 6000 was incorporated as a plasticizer</w:t>
      </w:r>
      <w:r w:rsidR="00E20E4F">
        <w:rPr>
          <w:rFonts w:ascii="Times New Roman" w:hAnsi="Times New Roman" w:cs="Times New Roman"/>
        </w:rPr>
        <w:t>,</w:t>
      </w:r>
      <w:r w:rsidRPr="00BB66A8">
        <w:rPr>
          <w:rFonts w:ascii="Times New Roman" w:hAnsi="Times New Roman" w:cs="Times New Roman"/>
        </w:rPr>
        <w:t xml:space="preserve"> due to their high miscibility in the ratios studied </w:t>
      </w:r>
      <w:r w:rsidR="00432BE0" w:rsidRPr="00BB66A8">
        <w:rPr>
          <w:rFonts w:ascii="Times New Roman" w:hAnsi="Times New Roman" w:cs="Times New Roman"/>
          <w:color w:val="000000"/>
        </w:rPr>
        <w:t>(Illiger et al., 2009)</w:t>
      </w:r>
      <w:r w:rsidRPr="00BB66A8">
        <w:rPr>
          <w:rFonts w:ascii="Times New Roman" w:hAnsi="Times New Roman" w:cs="Times New Roman"/>
        </w:rPr>
        <w:t xml:space="preserve">. In addition, </w:t>
      </w:r>
      <w:r w:rsidR="00E20E4F" w:rsidRPr="00BB66A8">
        <w:rPr>
          <w:rFonts w:ascii="Times New Roman" w:hAnsi="Times New Roman" w:cs="Times New Roman"/>
        </w:rPr>
        <w:t xml:space="preserve">HP-β-CD was </w:t>
      </w:r>
      <w:r w:rsidR="00E20E4F" w:rsidRPr="00BB66A8">
        <w:rPr>
          <w:rFonts w:ascii="Times New Roman" w:hAnsi="Times New Roman" w:cs="Times New Roman"/>
        </w:rPr>
        <w:lastRenderedPageBreak/>
        <w:t>added in MixBD-CD as such and in MixIC as IC</w:t>
      </w:r>
      <w:r w:rsidR="00E20E4F">
        <w:rPr>
          <w:rFonts w:ascii="Times New Roman" w:hAnsi="Times New Roman" w:cs="Times New Roman"/>
        </w:rPr>
        <w:t xml:space="preserve"> (</w:t>
      </w:r>
      <w:r w:rsidR="00E20E4F" w:rsidRPr="00BB66A8">
        <w:rPr>
          <w:rFonts w:ascii="Times New Roman" w:hAnsi="Times New Roman" w:cs="Times New Roman"/>
        </w:rPr>
        <w:t>achieved as described in section 2.2.</w:t>
      </w:r>
      <w:r w:rsidR="00B33FE2">
        <w:rPr>
          <w:rFonts w:ascii="Times New Roman" w:hAnsi="Times New Roman" w:cs="Times New Roman"/>
        </w:rPr>
        <w:t xml:space="preserve">), </w:t>
      </w:r>
      <w:r w:rsidRPr="00BB66A8">
        <w:rPr>
          <w:rFonts w:ascii="Times New Roman" w:hAnsi="Times New Roman" w:cs="Times New Roman"/>
        </w:rPr>
        <w:t>for its ability to induce an increase in the aqueous solubility of the drug</w:t>
      </w:r>
      <w:r w:rsidR="007019E4" w:rsidRPr="00BB66A8">
        <w:rPr>
          <w:rFonts w:ascii="Times New Roman" w:hAnsi="Times New Roman" w:cs="Times New Roman"/>
          <w:color w:val="000000"/>
        </w:rPr>
        <w:t xml:space="preserve"> (Laquintana et al., 2019)</w:t>
      </w:r>
      <w:r w:rsidR="003E44E3">
        <w:rPr>
          <w:rFonts w:ascii="Times New Roman" w:hAnsi="Times New Roman" w:cs="Times New Roman"/>
        </w:rPr>
        <w:t>.</w:t>
      </w:r>
      <w:r w:rsidRPr="00BB66A8">
        <w:rPr>
          <w:rFonts w:ascii="Times New Roman" w:hAnsi="Times New Roman" w:cs="Times New Roman"/>
        </w:rPr>
        <w:t xml:space="preserve"> The powder mixtures prepared in accordance with the mixing ratios of the selected materials are described in Table 1.</w:t>
      </w:r>
    </w:p>
    <w:p w14:paraId="0C1007B1" w14:textId="797BD373" w:rsidR="00A2620A" w:rsidRDefault="00A05FEB" w:rsidP="00AB42B1">
      <w:pPr>
        <w:rPr>
          <w:rFonts w:ascii="Times New Roman" w:hAnsi="Times New Roman" w:cs="Times New Roman"/>
        </w:rPr>
      </w:pPr>
      <w:r w:rsidRPr="00A05FEB">
        <w:rPr>
          <w:rFonts w:ascii="Times New Roman" w:hAnsi="Times New Roman" w:cs="Times New Roman"/>
        </w:rPr>
        <w:t xml:space="preserve">The components of each mixture were accurately weighed and sieved using a 355 µm mesh sieve. </w:t>
      </w:r>
      <w:r w:rsidRPr="0075467A">
        <w:rPr>
          <w:rFonts w:ascii="Times New Roman" w:hAnsi="Times New Roman" w:cs="Times New Roman"/>
        </w:rPr>
        <w:t>This operation</w:t>
      </w:r>
      <w:r w:rsidR="000E7771" w:rsidRPr="0075467A">
        <w:rPr>
          <w:rFonts w:ascii="Times New Roman" w:hAnsi="Times New Roman" w:cs="Times New Roman"/>
        </w:rPr>
        <w:t xml:space="preserve"> </w:t>
      </w:r>
      <w:r w:rsidRPr="0075467A">
        <w:rPr>
          <w:rFonts w:ascii="Times New Roman" w:hAnsi="Times New Roman" w:cs="Times New Roman"/>
        </w:rPr>
        <w:t xml:space="preserve">was performed three times to ensure the homogeneity of the powder sizes. </w:t>
      </w:r>
      <w:r w:rsidR="00A2620A" w:rsidRPr="0075467A">
        <w:rPr>
          <w:rFonts w:ascii="Times New Roman" w:hAnsi="Times New Roman" w:cs="Times New Roman"/>
        </w:rPr>
        <w:t>Subsequently, the</w:t>
      </w:r>
      <w:r w:rsidR="00A2620A" w:rsidRPr="00BB66A8">
        <w:rPr>
          <w:rFonts w:ascii="Times New Roman" w:hAnsi="Times New Roman" w:cs="Times New Roman"/>
        </w:rPr>
        <w:t xml:space="preserve"> mixtures were placed for about 1 hour at 67 rpm inside the shaker-mixer Turbula® T2C (Willy A. Bachofen GmbH, Nidderau, Germany) to permit homogeneous distribution of the drug in the powder. Finally, the resulting mixtures were dried on a stove at 37 °C overnight.</w:t>
      </w:r>
    </w:p>
    <w:p w14:paraId="55D5BECD" w14:textId="77777777" w:rsidR="00096D32" w:rsidRDefault="00096D32" w:rsidP="00AB42B1">
      <w:pPr>
        <w:rPr>
          <w:rFonts w:ascii="Times New Roman" w:hAnsi="Times New Roman" w:cs="Times New Roman"/>
        </w:rPr>
      </w:pPr>
    </w:p>
    <w:p w14:paraId="7DF915EF" w14:textId="3D4728F0" w:rsidR="002E36FD" w:rsidRPr="00096D32" w:rsidRDefault="00096D32" w:rsidP="00096D32">
      <w:pPr>
        <w:pStyle w:val="Titolo3"/>
        <w:numPr>
          <w:ilvl w:val="0"/>
          <w:numId w:val="0"/>
        </w:numPr>
        <w:spacing w:before="120"/>
        <w:rPr>
          <w:rFonts w:ascii="Times New Roman" w:hAnsi="Times New Roman" w:cs="Times New Roman"/>
          <w:i w:val="0"/>
          <w:iCs/>
          <w:sz w:val="22"/>
          <w:szCs w:val="22"/>
        </w:rPr>
      </w:pPr>
      <w:r w:rsidRPr="002E36FD">
        <w:rPr>
          <w:rFonts w:ascii="Times New Roman" w:hAnsi="Times New Roman" w:cs="Times New Roman"/>
          <w:b/>
          <w:bCs/>
          <w:i w:val="0"/>
          <w:iCs/>
          <w:sz w:val="22"/>
          <w:szCs w:val="22"/>
        </w:rPr>
        <w:t>Table 1.</w:t>
      </w:r>
      <w:r w:rsidRPr="002E36FD">
        <w:rPr>
          <w:rFonts w:ascii="Times New Roman" w:hAnsi="Times New Roman" w:cs="Times New Roman"/>
          <w:i w:val="0"/>
          <w:iCs/>
          <w:sz w:val="22"/>
          <w:szCs w:val="22"/>
        </w:rPr>
        <w:t xml:space="preserve"> </w:t>
      </w:r>
      <w:r w:rsidR="0075467A" w:rsidRPr="00AD3320">
        <w:rPr>
          <w:rFonts w:ascii="Times New Roman" w:hAnsi="Times New Roman" w:cs="Times New Roman"/>
          <w:i w:val="0"/>
          <w:iCs/>
          <w:sz w:val="22"/>
          <w:szCs w:val="22"/>
        </w:rPr>
        <w:t>Composition relative to 100 g of powder mixtures for printing.</w:t>
      </w:r>
    </w:p>
    <w:tbl>
      <w:tblPr>
        <w:tblStyle w:val="Tabellaconombreggiatura1"/>
        <w:tblW w:w="0" w:type="auto"/>
        <w:jc w:val="center"/>
        <w:tblLook w:val="04A0" w:firstRow="1" w:lastRow="0" w:firstColumn="1" w:lastColumn="0" w:noHBand="0" w:noVBand="1"/>
      </w:tblPr>
      <w:tblGrid>
        <w:gridCol w:w="1164"/>
        <w:gridCol w:w="210"/>
        <w:gridCol w:w="1085"/>
        <w:gridCol w:w="1637"/>
        <w:gridCol w:w="1313"/>
        <w:gridCol w:w="1327"/>
        <w:gridCol w:w="1276"/>
        <w:gridCol w:w="1626"/>
      </w:tblGrid>
      <w:tr w:rsidR="00A2620A" w:rsidRPr="00BB66A8" w14:paraId="7D976EB7" w14:textId="77777777" w:rsidTr="008428A4">
        <w:trPr>
          <w:cnfStyle w:val="100000000000" w:firstRow="1" w:lastRow="0" w:firstColumn="0" w:lastColumn="0" w:oddVBand="0" w:evenVBand="0" w:oddHBand="0" w:evenHBand="0" w:firstRowFirstColumn="0" w:firstRowLastColumn="0" w:lastRowFirstColumn="0" w:lastRowLastColumn="0"/>
          <w:trHeight w:hRule="exact" w:val="768"/>
          <w:jc w:val="center"/>
        </w:trPr>
        <w:tc>
          <w:tcPr>
            <w:cnfStyle w:val="001000000000" w:firstRow="0" w:lastRow="0" w:firstColumn="1" w:lastColumn="0" w:oddVBand="0" w:evenVBand="0" w:oddHBand="0" w:evenHBand="0" w:firstRowFirstColumn="0" w:firstRowLastColumn="0" w:lastRowFirstColumn="0" w:lastRowLastColumn="0"/>
            <w:tcW w:w="1175" w:type="dxa"/>
            <w:tcBorders>
              <w:top w:val="single" w:sz="12" w:space="0" w:color="000000"/>
              <w:right w:val="none" w:sz="0" w:space="0" w:color="auto"/>
            </w:tcBorders>
          </w:tcPr>
          <w:p w14:paraId="5E03BE42" w14:textId="77777777" w:rsidR="00A2620A" w:rsidRPr="00BB66A8" w:rsidRDefault="00A2620A" w:rsidP="006A28CF">
            <w:pPr>
              <w:tabs>
                <w:tab w:val="left" w:pos="1224"/>
              </w:tabs>
              <w:rPr>
                <w:rFonts w:ascii="Times New Roman" w:hAnsi="Times New Roman" w:cs="Times New Roman"/>
                <w:color w:val="auto"/>
              </w:rPr>
            </w:pPr>
          </w:p>
        </w:tc>
        <w:tc>
          <w:tcPr>
            <w:tcW w:w="1331" w:type="dxa"/>
            <w:gridSpan w:val="2"/>
            <w:tcBorders>
              <w:top w:val="single" w:sz="12" w:space="0" w:color="000000"/>
              <w:left w:val="nil"/>
            </w:tcBorders>
            <w:vAlign w:val="center"/>
          </w:tcPr>
          <w:p w14:paraId="50A6C337" w14:textId="5A1AEE5F" w:rsidR="00A2620A" w:rsidRPr="00BB66A8" w:rsidRDefault="00A2620A" w:rsidP="006A28CF">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BD</w:t>
            </w:r>
            <w:r w:rsidR="00EA3FE6" w:rsidRPr="00BB66A8">
              <w:rPr>
                <w:rFonts w:ascii="Times New Roman" w:hAnsi="Times New Roman" w:cs="Times New Roman"/>
                <w:color w:val="auto"/>
                <w:vertAlign w:val="superscript"/>
                <w:lang w:val="it-IT"/>
              </w:rPr>
              <w:t>*</w:t>
            </w:r>
          </w:p>
        </w:tc>
        <w:tc>
          <w:tcPr>
            <w:tcW w:w="1685" w:type="dxa"/>
            <w:tcBorders>
              <w:top w:val="single" w:sz="12" w:space="0" w:color="000000"/>
            </w:tcBorders>
            <w:vAlign w:val="center"/>
          </w:tcPr>
          <w:p w14:paraId="289BFBA2" w14:textId="04183D92" w:rsidR="00A2620A" w:rsidRPr="00BB66A8" w:rsidRDefault="00A2620A" w:rsidP="006A28CF">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A</w:t>
            </w:r>
            <w:r w:rsidR="002306E2" w:rsidRPr="00BB66A8">
              <w:rPr>
                <w:rFonts w:ascii="Times New Roman" w:hAnsi="Times New Roman" w:cs="Times New Roman"/>
                <w:color w:val="auto"/>
                <w:lang w:val="it-IT"/>
              </w:rPr>
              <w:t>B</w:t>
            </w:r>
            <w:r w:rsidR="00EA3FE6" w:rsidRPr="00BB66A8">
              <w:rPr>
                <w:rFonts w:ascii="Times New Roman" w:hAnsi="Times New Roman" w:cs="Times New Roman"/>
                <w:color w:val="auto"/>
                <w:vertAlign w:val="superscript"/>
                <w:lang w:val="it-IT"/>
              </w:rPr>
              <w:t>*</w:t>
            </w:r>
          </w:p>
        </w:tc>
        <w:tc>
          <w:tcPr>
            <w:tcW w:w="1337" w:type="dxa"/>
            <w:tcBorders>
              <w:top w:val="single" w:sz="12" w:space="0" w:color="000000"/>
            </w:tcBorders>
            <w:vAlign w:val="center"/>
          </w:tcPr>
          <w:p w14:paraId="031149DA" w14:textId="4E934DB0" w:rsidR="00A2620A" w:rsidRPr="00BB66A8" w:rsidRDefault="00A2620A" w:rsidP="00FE2F6D">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IC</w:t>
            </w:r>
            <w:r w:rsidR="00EA3FE6" w:rsidRPr="00BB66A8">
              <w:rPr>
                <w:rFonts w:ascii="Times New Roman" w:hAnsi="Times New Roman" w:cs="Times New Roman"/>
                <w:color w:val="auto"/>
                <w:vertAlign w:val="superscript"/>
                <w:lang w:val="it-IT"/>
              </w:rPr>
              <w:t>*</w:t>
            </w:r>
          </w:p>
        </w:tc>
        <w:tc>
          <w:tcPr>
            <w:tcW w:w="1359" w:type="dxa"/>
            <w:tcBorders>
              <w:top w:val="single" w:sz="12" w:space="0" w:color="000000"/>
            </w:tcBorders>
            <w:vAlign w:val="center"/>
          </w:tcPr>
          <w:p w14:paraId="494AD50F" w14:textId="72600FF8" w:rsidR="00A2620A" w:rsidRPr="00BB66A8" w:rsidRDefault="00A2620A" w:rsidP="006A28CF">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HP-β-CD</w:t>
            </w:r>
            <w:r w:rsidR="00EA3FE6" w:rsidRPr="00BB66A8">
              <w:rPr>
                <w:rFonts w:ascii="Times New Roman" w:hAnsi="Times New Roman" w:cs="Times New Roman"/>
                <w:color w:val="auto"/>
                <w:vertAlign w:val="superscript"/>
                <w:lang w:val="it-IT"/>
              </w:rPr>
              <w:t>*</w:t>
            </w:r>
          </w:p>
        </w:tc>
        <w:tc>
          <w:tcPr>
            <w:tcW w:w="1304" w:type="dxa"/>
            <w:tcBorders>
              <w:top w:val="single" w:sz="12" w:space="0" w:color="000000"/>
            </w:tcBorders>
            <w:vAlign w:val="center"/>
          </w:tcPr>
          <w:p w14:paraId="56DC8860" w14:textId="6A519700" w:rsidR="00A2620A" w:rsidRPr="00BB66A8" w:rsidRDefault="00A2620A" w:rsidP="008428A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PEG 6000</w:t>
            </w:r>
            <w:r w:rsidR="00EA3FE6" w:rsidRPr="00BB66A8">
              <w:rPr>
                <w:rFonts w:ascii="Times New Roman" w:hAnsi="Times New Roman" w:cs="Times New Roman"/>
                <w:color w:val="auto"/>
                <w:vertAlign w:val="superscript"/>
                <w:lang w:val="it-IT"/>
              </w:rPr>
              <w:t>*</w:t>
            </w:r>
          </w:p>
        </w:tc>
        <w:tc>
          <w:tcPr>
            <w:tcW w:w="1663" w:type="dxa"/>
            <w:tcBorders>
              <w:top w:val="single" w:sz="12" w:space="0" w:color="000000"/>
            </w:tcBorders>
          </w:tcPr>
          <w:p w14:paraId="6568B93E" w14:textId="7BED644B" w:rsidR="00A2620A" w:rsidRPr="00BB66A8" w:rsidRDefault="00A2620A" w:rsidP="008428A4">
            <w:pPr>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HPMC</w:t>
            </w:r>
            <w:r w:rsidR="00EA3FE6" w:rsidRPr="00BB66A8">
              <w:rPr>
                <w:rFonts w:ascii="Times New Roman" w:hAnsi="Times New Roman" w:cs="Times New Roman"/>
                <w:color w:val="auto"/>
                <w:vertAlign w:val="superscript"/>
                <w:lang w:val="it-IT"/>
              </w:rPr>
              <w:t>*</w:t>
            </w:r>
          </w:p>
        </w:tc>
      </w:tr>
      <w:tr w:rsidR="00A2620A" w:rsidRPr="00BB66A8" w14:paraId="3791CC14" w14:textId="77777777" w:rsidTr="00B55005">
        <w:trPr>
          <w:cnfStyle w:val="000000100000" w:firstRow="0" w:lastRow="0" w:firstColumn="0" w:lastColumn="0" w:oddVBand="0" w:evenVBand="0" w:oddHBand="1" w:evenHBand="0" w:firstRowFirstColumn="0" w:firstRowLastColumn="0" w:lastRowFirstColumn="0" w:lastRowLastColumn="0"/>
          <w:trHeight w:hRule="exact" w:val="340"/>
          <w:jc w:val="center"/>
        </w:trPr>
        <w:tc>
          <w:tcPr>
            <w:cnfStyle w:val="001000000000" w:firstRow="0" w:lastRow="0" w:firstColumn="1" w:lastColumn="0" w:oddVBand="0" w:evenVBand="0" w:oddHBand="0" w:evenHBand="0" w:firstRowFirstColumn="0" w:firstRowLastColumn="0" w:lastRowFirstColumn="0" w:lastRowLastColumn="0"/>
            <w:tcW w:w="1389" w:type="dxa"/>
            <w:gridSpan w:val="2"/>
            <w:tcBorders>
              <w:top w:val="single" w:sz="4" w:space="0" w:color="auto"/>
              <w:right w:val="none" w:sz="0" w:space="0" w:color="auto"/>
            </w:tcBorders>
            <w:shd w:val="clear" w:color="auto" w:fill="FFFFFF" w:themeFill="background1"/>
          </w:tcPr>
          <w:p w14:paraId="357F519A" w14:textId="77777777" w:rsidR="00A2620A" w:rsidRPr="00BB66A8" w:rsidRDefault="00A2620A" w:rsidP="006A28CF">
            <w:pPr>
              <w:jc w:val="center"/>
              <w:rPr>
                <w:rFonts w:ascii="Times New Roman" w:hAnsi="Times New Roman" w:cs="Times New Roman"/>
                <w:color w:val="auto"/>
                <w:lang w:val="it-IT"/>
              </w:rPr>
            </w:pPr>
          </w:p>
        </w:tc>
        <w:tc>
          <w:tcPr>
            <w:tcW w:w="8465" w:type="dxa"/>
            <w:gridSpan w:val="6"/>
            <w:tcBorders>
              <w:top w:val="single" w:sz="4" w:space="0" w:color="auto"/>
              <w:left w:val="nil"/>
            </w:tcBorders>
            <w:shd w:val="clear" w:color="auto" w:fill="FFFFFF" w:themeFill="background1"/>
          </w:tcPr>
          <w:p w14:paraId="706A42CE" w14:textId="77777777" w:rsidR="00A2620A" w:rsidRPr="00BB66A8" w:rsidRDefault="00A2620A" w:rsidP="00DE7C1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 w/w</w:t>
            </w:r>
          </w:p>
        </w:tc>
      </w:tr>
      <w:tr w:rsidR="00A2620A" w:rsidRPr="00BB66A8" w14:paraId="4A834859" w14:textId="77777777" w:rsidTr="00B55005">
        <w:trPr>
          <w:jc w:val="center"/>
        </w:trPr>
        <w:tc>
          <w:tcPr>
            <w:cnfStyle w:val="001000000000" w:firstRow="0" w:lastRow="0" w:firstColumn="1" w:lastColumn="0" w:oddVBand="0" w:evenVBand="0" w:oddHBand="0" w:evenHBand="0" w:firstRowFirstColumn="0" w:firstRowLastColumn="0" w:lastRowFirstColumn="0" w:lastRowLastColumn="0"/>
            <w:tcW w:w="1175" w:type="dxa"/>
            <w:tcBorders>
              <w:top w:val="single" w:sz="12" w:space="0" w:color="000000"/>
              <w:bottom w:val="single" w:sz="12" w:space="0" w:color="000000"/>
              <w:right w:val="none" w:sz="0" w:space="0" w:color="auto"/>
            </w:tcBorders>
            <w:shd w:val="clear" w:color="auto" w:fill="auto"/>
          </w:tcPr>
          <w:p w14:paraId="6F4EDCD3" w14:textId="77777777" w:rsidR="00A2620A" w:rsidRPr="00BB66A8" w:rsidRDefault="00A2620A" w:rsidP="006A28CF">
            <w:pPr>
              <w:spacing w:before="120" w:after="120"/>
              <w:rPr>
                <w:rFonts w:ascii="Times New Roman" w:hAnsi="Times New Roman" w:cs="Times New Roman"/>
                <w:color w:val="auto"/>
                <w:lang w:val="it-IT"/>
              </w:rPr>
            </w:pPr>
            <w:r w:rsidRPr="00BB66A8">
              <w:rPr>
                <w:rFonts w:ascii="Times New Roman" w:hAnsi="Times New Roman" w:cs="Times New Roman"/>
                <w:color w:val="auto"/>
                <w:lang w:val="it-IT"/>
              </w:rPr>
              <w:t xml:space="preserve">MixBD  </w:t>
            </w:r>
          </w:p>
        </w:tc>
        <w:tc>
          <w:tcPr>
            <w:tcW w:w="1331" w:type="dxa"/>
            <w:gridSpan w:val="2"/>
            <w:tcBorders>
              <w:top w:val="single" w:sz="12" w:space="0" w:color="000000"/>
              <w:left w:val="nil"/>
              <w:bottom w:val="single" w:sz="12" w:space="0" w:color="000000"/>
            </w:tcBorders>
            <w:shd w:val="clear" w:color="auto" w:fill="FFFFFF" w:themeFill="background1"/>
          </w:tcPr>
          <w:p w14:paraId="3F7A8862"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0.59</w:t>
            </w:r>
          </w:p>
        </w:tc>
        <w:tc>
          <w:tcPr>
            <w:tcW w:w="1685" w:type="dxa"/>
            <w:tcBorders>
              <w:top w:val="single" w:sz="12" w:space="0" w:color="000000"/>
              <w:bottom w:val="single" w:sz="12" w:space="0" w:color="000000"/>
            </w:tcBorders>
            <w:shd w:val="clear" w:color="auto" w:fill="FFFFFF" w:themeFill="background1"/>
          </w:tcPr>
          <w:p w14:paraId="5ACEE9A6" w14:textId="2D012CA1"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20</w:t>
            </w:r>
            <w:r w:rsidR="00A05FEB">
              <w:rPr>
                <w:rFonts w:ascii="Times New Roman" w:hAnsi="Times New Roman" w:cs="Times New Roman"/>
                <w:color w:val="auto"/>
                <w:lang w:val="it-IT"/>
              </w:rPr>
              <w:t>.00</w:t>
            </w:r>
          </w:p>
        </w:tc>
        <w:tc>
          <w:tcPr>
            <w:tcW w:w="1337" w:type="dxa"/>
            <w:tcBorders>
              <w:top w:val="single" w:sz="12" w:space="0" w:color="000000"/>
              <w:bottom w:val="single" w:sz="12" w:space="0" w:color="000000"/>
            </w:tcBorders>
          </w:tcPr>
          <w:p w14:paraId="4EE65B2C"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w:t>
            </w:r>
          </w:p>
        </w:tc>
        <w:tc>
          <w:tcPr>
            <w:tcW w:w="1359" w:type="dxa"/>
            <w:tcBorders>
              <w:top w:val="single" w:sz="12" w:space="0" w:color="000000"/>
              <w:bottom w:val="single" w:sz="12" w:space="0" w:color="000000"/>
            </w:tcBorders>
            <w:shd w:val="clear" w:color="auto" w:fill="auto"/>
          </w:tcPr>
          <w:p w14:paraId="764486F7"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w:t>
            </w:r>
          </w:p>
        </w:tc>
        <w:tc>
          <w:tcPr>
            <w:tcW w:w="1304" w:type="dxa"/>
            <w:tcBorders>
              <w:top w:val="single" w:sz="12" w:space="0" w:color="000000"/>
              <w:bottom w:val="single" w:sz="12" w:space="0" w:color="000000"/>
            </w:tcBorders>
            <w:shd w:val="clear" w:color="auto" w:fill="auto"/>
          </w:tcPr>
          <w:p w14:paraId="3DFAA5B8"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3.97</w:t>
            </w:r>
          </w:p>
        </w:tc>
        <w:tc>
          <w:tcPr>
            <w:tcW w:w="1663" w:type="dxa"/>
            <w:tcBorders>
              <w:top w:val="single" w:sz="12" w:space="0" w:color="000000"/>
              <w:bottom w:val="single" w:sz="12" w:space="0" w:color="000000"/>
            </w:tcBorders>
            <w:shd w:val="clear" w:color="auto" w:fill="auto"/>
          </w:tcPr>
          <w:p w14:paraId="53B46493" w14:textId="3A58DC52" w:rsidR="00A2620A" w:rsidRPr="00BB66A8" w:rsidRDefault="00A2620A" w:rsidP="006A28CF">
            <w:pPr>
              <w:keepNext/>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75.4</w:t>
            </w:r>
            <w:r w:rsidR="000D5C17">
              <w:rPr>
                <w:rFonts w:ascii="Times New Roman" w:hAnsi="Times New Roman" w:cs="Times New Roman"/>
                <w:color w:val="auto"/>
                <w:lang w:val="it-IT"/>
              </w:rPr>
              <w:t>4</w:t>
            </w:r>
          </w:p>
        </w:tc>
      </w:tr>
      <w:tr w:rsidR="00A2620A" w:rsidRPr="00BB66A8" w14:paraId="2BC02204" w14:textId="77777777" w:rsidTr="00B5500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5" w:type="dxa"/>
            <w:tcBorders>
              <w:top w:val="single" w:sz="12" w:space="0" w:color="000000"/>
              <w:bottom w:val="single" w:sz="12" w:space="0" w:color="000000"/>
              <w:right w:val="none" w:sz="0" w:space="0" w:color="auto"/>
            </w:tcBorders>
            <w:shd w:val="clear" w:color="auto" w:fill="auto"/>
          </w:tcPr>
          <w:p w14:paraId="297B5C38" w14:textId="77777777" w:rsidR="00A2620A" w:rsidRPr="00BB66A8" w:rsidRDefault="00A2620A" w:rsidP="006A28CF">
            <w:pPr>
              <w:spacing w:before="120" w:after="120"/>
              <w:rPr>
                <w:rFonts w:ascii="Times New Roman" w:hAnsi="Times New Roman" w:cs="Times New Roman"/>
                <w:color w:val="auto"/>
                <w:lang w:val="it-IT"/>
              </w:rPr>
            </w:pPr>
            <w:r w:rsidRPr="00BB66A8">
              <w:rPr>
                <w:rFonts w:ascii="Times New Roman" w:hAnsi="Times New Roman" w:cs="Times New Roman"/>
                <w:color w:val="auto"/>
                <w:lang w:val="it-IT"/>
              </w:rPr>
              <w:t>MixBD-CD</w:t>
            </w:r>
          </w:p>
        </w:tc>
        <w:tc>
          <w:tcPr>
            <w:tcW w:w="1331" w:type="dxa"/>
            <w:gridSpan w:val="2"/>
            <w:tcBorders>
              <w:top w:val="single" w:sz="12" w:space="0" w:color="000000"/>
              <w:left w:val="nil"/>
              <w:bottom w:val="single" w:sz="12" w:space="0" w:color="000000"/>
            </w:tcBorders>
            <w:shd w:val="clear" w:color="auto" w:fill="FFFFFF" w:themeFill="background1"/>
          </w:tcPr>
          <w:p w14:paraId="7C8D9AAB" w14:textId="77777777" w:rsidR="00A2620A" w:rsidRPr="00BB66A8" w:rsidRDefault="00A2620A" w:rsidP="006A28CF">
            <w:pPr>
              <w:spacing w:before="120"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0.59</w:t>
            </w:r>
          </w:p>
        </w:tc>
        <w:tc>
          <w:tcPr>
            <w:tcW w:w="1685" w:type="dxa"/>
            <w:tcBorders>
              <w:top w:val="single" w:sz="12" w:space="0" w:color="000000"/>
              <w:bottom w:val="single" w:sz="12" w:space="0" w:color="000000"/>
            </w:tcBorders>
            <w:shd w:val="clear" w:color="auto" w:fill="FFFFFF" w:themeFill="background1"/>
          </w:tcPr>
          <w:p w14:paraId="5F739984" w14:textId="77777777" w:rsidR="00A2620A" w:rsidRPr="00BB66A8" w:rsidRDefault="00A2620A" w:rsidP="006A28CF">
            <w:pPr>
              <w:spacing w:before="120"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8.17</w:t>
            </w:r>
          </w:p>
        </w:tc>
        <w:tc>
          <w:tcPr>
            <w:tcW w:w="1337" w:type="dxa"/>
            <w:tcBorders>
              <w:top w:val="single" w:sz="12" w:space="0" w:color="000000"/>
              <w:bottom w:val="single" w:sz="12" w:space="0" w:color="000000"/>
            </w:tcBorders>
            <w:shd w:val="clear" w:color="auto" w:fill="FFFFFF" w:themeFill="background1"/>
          </w:tcPr>
          <w:p w14:paraId="70D53F7B" w14:textId="77777777" w:rsidR="00A2620A" w:rsidRPr="00BB66A8" w:rsidRDefault="00A2620A" w:rsidP="006A28CF">
            <w:pPr>
              <w:spacing w:before="120"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w:t>
            </w:r>
          </w:p>
        </w:tc>
        <w:tc>
          <w:tcPr>
            <w:tcW w:w="1359" w:type="dxa"/>
            <w:tcBorders>
              <w:top w:val="single" w:sz="12" w:space="0" w:color="000000"/>
              <w:bottom w:val="single" w:sz="12" w:space="0" w:color="000000"/>
            </w:tcBorders>
            <w:shd w:val="clear" w:color="auto" w:fill="auto"/>
          </w:tcPr>
          <w:p w14:paraId="3FF14C6B" w14:textId="77777777" w:rsidR="00A2620A" w:rsidRPr="00BB66A8" w:rsidRDefault="00A2620A" w:rsidP="006A28CF">
            <w:pPr>
              <w:spacing w:before="120"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46.41</w:t>
            </w:r>
          </w:p>
        </w:tc>
        <w:tc>
          <w:tcPr>
            <w:tcW w:w="1304" w:type="dxa"/>
            <w:tcBorders>
              <w:top w:val="single" w:sz="12" w:space="0" w:color="000000"/>
              <w:bottom w:val="single" w:sz="12" w:space="0" w:color="000000"/>
            </w:tcBorders>
            <w:shd w:val="clear" w:color="auto" w:fill="auto"/>
          </w:tcPr>
          <w:p w14:paraId="270D6CBB" w14:textId="77777777" w:rsidR="00A2620A" w:rsidRPr="00BB66A8" w:rsidRDefault="00A2620A" w:rsidP="006A28CF">
            <w:pPr>
              <w:spacing w:before="120"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2.99</w:t>
            </w:r>
          </w:p>
        </w:tc>
        <w:tc>
          <w:tcPr>
            <w:tcW w:w="1663" w:type="dxa"/>
            <w:tcBorders>
              <w:top w:val="single" w:sz="12" w:space="0" w:color="000000"/>
              <w:bottom w:val="single" w:sz="12" w:space="0" w:color="000000"/>
            </w:tcBorders>
            <w:shd w:val="clear" w:color="auto" w:fill="auto"/>
          </w:tcPr>
          <w:p w14:paraId="4910FCD4" w14:textId="77777777" w:rsidR="00A2620A" w:rsidRPr="00BB66A8" w:rsidRDefault="00A2620A" w:rsidP="006A28CF">
            <w:pPr>
              <w:keepNext/>
              <w:spacing w:before="120" w:after="1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41.84</w:t>
            </w:r>
          </w:p>
        </w:tc>
      </w:tr>
      <w:tr w:rsidR="00A2620A" w:rsidRPr="00BB66A8" w14:paraId="302E16AE" w14:textId="77777777" w:rsidTr="00B55005">
        <w:trPr>
          <w:jc w:val="center"/>
        </w:trPr>
        <w:tc>
          <w:tcPr>
            <w:cnfStyle w:val="001000000000" w:firstRow="0" w:lastRow="0" w:firstColumn="1" w:lastColumn="0" w:oddVBand="0" w:evenVBand="0" w:oddHBand="0" w:evenHBand="0" w:firstRowFirstColumn="0" w:firstRowLastColumn="0" w:lastRowFirstColumn="0" w:lastRowLastColumn="0"/>
            <w:tcW w:w="1175" w:type="dxa"/>
            <w:tcBorders>
              <w:top w:val="single" w:sz="12" w:space="0" w:color="000000"/>
              <w:bottom w:val="single" w:sz="12" w:space="0" w:color="000000"/>
              <w:right w:val="none" w:sz="0" w:space="0" w:color="auto"/>
            </w:tcBorders>
            <w:shd w:val="clear" w:color="auto" w:fill="auto"/>
          </w:tcPr>
          <w:p w14:paraId="04E5B47F" w14:textId="77777777" w:rsidR="00A2620A" w:rsidRPr="00BB66A8" w:rsidRDefault="00A2620A" w:rsidP="006A28CF">
            <w:pPr>
              <w:spacing w:before="120" w:after="120"/>
              <w:rPr>
                <w:rFonts w:ascii="Times New Roman" w:hAnsi="Times New Roman" w:cs="Times New Roman"/>
                <w:color w:val="auto"/>
                <w:lang w:val="it-IT"/>
              </w:rPr>
            </w:pPr>
            <w:r w:rsidRPr="00BB66A8">
              <w:rPr>
                <w:rFonts w:ascii="Times New Roman" w:hAnsi="Times New Roman" w:cs="Times New Roman"/>
                <w:color w:val="auto"/>
                <w:lang w:val="it-IT"/>
              </w:rPr>
              <w:t>MixIC</w:t>
            </w:r>
          </w:p>
        </w:tc>
        <w:tc>
          <w:tcPr>
            <w:tcW w:w="1331" w:type="dxa"/>
            <w:gridSpan w:val="2"/>
            <w:tcBorders>
              <w:top w:val="single" w:sz="12" w:space="0" w:color="000000"/>
              <w:left w:val="nil"/>
              <w:bottom w:val="single" w:sz="12" w:space="0" w:color="000000"/>
            </w:tcBorders>
            <w:shd w:val="clear" w:color="auto" w:fill="FFFFFF" w:themeFill="background1"/>
          </w:tcPr>
          <w:p w14:paraId="7B4A12B9"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w:t>
            </w:r>
          </w:p>
        </w:tc>
        <w:tc>
          <w:tcPr>
            <w:tcW w:w="1685" w:type="dxa"/>
            <w:tcBorders>
              <w:top w:val="single" w:sz="12" w:space="0" w:color="000000"/>
              <w:bottom w:val="single" w:sz="12" w:space="0" w:color="000000"/>
            </w:tcBorders>
            <w:shd w:val="clear" w:color="auto" w:fill="FFFFFF" w:themeFill="background1"/>
          </w:tcPr>
          <w:p w14:paraId="63BD31F3"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8.17</w:t>
            </w:r>
          </w:p>
        </w:tc>
        <w:tc>
          <w:tcPr>
            <w:tcW w:w="1337" w:type="dxa"/>
            <w:tcBorders>
              <w:top w:val="single" w:sz="12" w:space="0" w:color="000000"/>
              <w:bottom w:val="single" w:sz="12" w:space="0" w:color="000000"/>
            </w:tcBorders>
          </w:tcPr>
          <w:p w14:paraId="6C322319" w14:textId="640B9B19"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47</w:t>
            </w:r>
            <w:r w:rsidR="00A05FEB">
              <w:rPr>
                <w:rFonts w:ascii="Times New Roman" w:hAnsi="Times New Roman" w:cs="Times New Roman"/>
                <w:color w:val="auto"/>
                <w:lang w:val="it-IT"/>
              </w:rPr>
              <w:t>.00</w:t>
            </w:r>
            <w:r w:rsidR="00FA4DCC" w:rsidRPr="0075467A">
              <w:rPr>
                <w:rFonts w:ascii="Times New Roman" w:hAnsi="Times New Roman" w:cs="Times New Roman"/>
                <w:color w:val="auto"/>
                <w:vertAlign w:val="superscript"/>
                <w:lang w:val="it-IT"/>
              </w:rPr>
              <w:t>**</w:t>
            </w:r>
          </w:p>
        </w:tc>
        <w:tc>
          <w:tcPr>
            <w:tcW w:w="1359" w:type="dxa"/>
            <w:tcBorders>
              <w:top w:val="single" w:sz="12" w:space="0" w:color="000000"/>
              <w:bottom w:val="single" w:sz="12" w:space="0" w:color="000000"/>
            </w:tcBorders>
            <w:shd w:val="clear" w:color="auto" w:fill="auto"/>
          </w:tcPr>
          <w:p w14:paraId="5A795E88"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w:t>
            </w:r>
          </w:p>
        </w:tc>
        <w:tc>
          <w:tcPr>
            <w:tcW w:w="1304" w:type="dxa"/>
            <w:tcBorders>
              <w:top w:val="single" w:sz="12" w:space="0" w:color="000000"/>
              <w:bottom w:val="single" w:sz="12" w:space="0" w:color="000000"/>
            </w:tcBorders>
            <w:shd w:val="clear" w:color="auto" w:fill="auto"/>
          </w:tcPr>
          <w:p w14:paraId="7D2C6956" w14:textId="77777777" w:rsidR="00A2620A" w:rsidRPr="00BB66A8" w:rsidRDefault="00A2620A" w:rsidP="006A28CF">
            <w:pPr>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2.99</w:t>
            </w:r>
          </w:p>
        </w:tc>
        <w:tc>
          <w:tcPr>
            <w:tcW w:w="1663" w:type="dxa"/>
            <w:tcBorders>
              <w:top w:val="single" w:sz="12" w:space="0" w:color="000000"/>
              <w:bottom w:val="single" w:sz="12" w:space="0" w:color="000000"/>
            </w:tcBorders>
            <w:shd w:val="clear" w:color="auto" w:fill="auto"/>
          </w:tcPr>
          <w:p w14:paraId="2BD1F198" w14:textId="77777777" w:rsidR="00A2620A" w:rsidRPr="00BB66A8" w:rsidRDefault="00A2620A" w:rsidP="006A28CF">
            <w:pPr>
              <w:keepNext/>
              <w:spacing w:before="120" w:after="12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it-IT"/>
              </w:rPr>
            </w:pPr>
            <w:r w:rsidRPr="00BB66A8">
              <w:rPr>
                <w:rFonts w:ascii="Times New Roman" w:hAnsi="Times New Roman" w:cs="Times New Roman"/>
                <w:color w:val="auto"/>
                <w:lang w:val="it-IT"/>
              </w:rPr>
              <w:t>41.84</w:t>
            </w:r>
          </w:p>
        </w:tc>
      </w:tr>
    </w:tbl>
    <w:p w14:paraId="3A73B64A" w14:textId="293A2FDA" w:rsidR="002E36FD" w:rsidRDefault="00EA3FE6" w:rsidP="00EF7195">
      <w:pPr>
        <w:pStyle w:val="Titolo3"/>
        <w:numPr>
          <w:ilvl w:val="0"/>
          <w:numId w:val="0"/>
        </w:numPr>
        <w:spacing w:before="120"/>
        <w:rPr>
          <w:rFonts w:ascii="Times New Roman" w:hAnsi="Times New Roman" w:cs="Times New Roman"/>
          <w:i w:val="0"/>
          <w:iCs/>
          <w:sz w:val="18"/>
          <w:szCs w:val="18"/>
        </w:rPr>
      </w:pPr>
      <w:r w:rsidRPr="00BB66A8">
        <w:rPr>
          <w:rFonts w:ascii="Times New Roman" w:hAnsi="Times New Roman" w:cs="Times New Roman"/>
          <w:vertAlign w:val="superscript"/>
        </w:rPr>
        <w:t xml:space="preserve"> </w:t>
      </w:r>
      <w:r w:rsidRPr="00BB66A8">
        <w:rPr>
          <w:rFonts w:ascii="Times New Roman" w:hAnsi="Times New Roman" w:cs="Times New Roman"/>
          <w:sz w:val="18"/>
          <w:szCs w:val="18"/>
          <w:vertAlign w:val="superscript"/>
        </w:rPr>
        <w:t>*</w:t>
      </w:r>
      <w:r w:rsidRPr="00BB66A8">
        <w:rPr>
          <w:rFonts w:ascii="Times New Roman" w:hAnsi="Times New Roman" w:cs="Times New Roman"/>
          <w:i w:val="0"/>
          <w:iCs/>
          <w:sz w:val="18"/>
          <w:szCs w:val="18"/>
        </w:rPr>
        <w:t>BD</w:t>
      </w:r>
      <w:r w:rsidR="0096289B" w:rsidRPr="00BB66A8">
        <w:rPr>
          <w:rFonts w:ascii="Times New Roman" w:hAnsi="Times New Roman" w:cs="Times New Roman"/>
          <w:i w:val="0"/>
          <w:iCs/>
          <w:sz w:val="18"/>
          <w:szCs w:val="18"/>
        </w:rPr>
        <w:t>= budeson</w:t>
      </w:r>
      <w:r w:rsidR="00EF7195" w:rsidRPr="00BB66A8">
        <w:rPr>
          <w:rFonts w:ascii="Times New Roman" w:hAnsi="Times New Roman" w:cs="Times New Roman"/>
          <w:i w:val="0"/>
          <w:iCs/>
          <w:sz w:val="18"/>
          <w:szCs w:val="18"/>
        </w:rPr>
        <w:t>i</w:t>
      </w:r>
      <w:r w:rsidR="0096289B" w:rsidRPr="00BB66A8">
        <w:rPr>
          <w:rFonts w:ascii="Times New Roman" w:hAnsi="Times New Roman" w:cs="Times New Roman"/>
          <w:i w:val="0"/>
          <w:iCs/>
          <w:sz w:val="18"/>
          <w:szCs w:val="18"/>
        </w:rPr>
        <w:t>de; AB=</w:t>
      </w:r>
      <w:r w:rsidR="0096289B" w:rsidRPr="00BB66A8">
        <w:rPr>
          <w:rFonts w:ascii="Times New Roman" w:hAnsi="Times New Roman" w:cs="Times New Roman"/>
          <w:sz w:val="18"/>
          <w:szCs w:val="18"/>
        </w:rPr>
        <w:t xml:space="preserve"> </w:t>
      </w:r>
      <w:r w:rsidR="0096289B" w:rsidRPr="00BB66A8">
        <w:rPr>
          <w:rFonts w:ascii="Times New Roman" w:hAnsi="Times New Roman" w:cs="Times New Roman"/>
          <w:i w:val="0"/>
          <w:iCs/>
          <w:sz w:val="18"/>
          <w:szCs w:val="18"/>
        </w:rPr>
        <w:t>Adjuvant Blend consisting of citric acid/tartaric acid/sodium</w:t>
      </w:r>
      <w:r w:rsidR="0096289B" w:rsidRPr="00BB66A8">
        <w:rPr>
          <w:rFonts w:ascii="Times New Roman" w:hAnsi="Times New Roman" w:cs="Times New Roman"/>
          <w:sz w:val="18"/>
          <w:szCs w:val="18"/>
        </w:rPr>
        <w:t xml:space="preserve"> </w:t>
      </w:r>
      <w:r w:rsidR="0096289B" w:rsidRPr="00BB66A8">
        <w:rPr>
          <w:rFonts w:ascii="Times New Roman" w:hAnsi="Times New Roman" w:cs="Times New Roman"/>
          <w:i w:val="0"/>
          <w:iCs/>
          <w:sz w:val="18"/>
          <w:szCs w:val="18"/>
        </w:rPr>
        <w:t xml:space="preserve">bicarbonate; IC= BD/HP-β-CD inclusion complex; HP-β-CD= hydroxypropyl-β-cyclodextrin; PEG 6000= polyethylene glycol 6000; HPMC= </w:t>
      </w:r>
      <w:r w:rsidR="00EF7195" w:rsidRPr="00BB66A8">
        <w:rPr>
          <w:rFonts w:ascii="Times New Roman" w:hAnsi="Times New Roman" w:cs="Times New Roman"/>
          <w:i w:val="0"/>
          <w:iCs/>
          <w:sz w:val="18"/>
          <w:szCs w:val="18"/>
        </w:rPr>
        <w:t xml:space="preserve">hydroxypropyl methylcellulose. </w:t>
      </w:r>
    </w:p>
    <w:p w14:paraId="384A90EB" w14:textId="2942C9E7" w:rsidR="0075467A" w:rsidRPr="0075467A" w:rsidRDefault="0075467A" w:rsidP="0075467A">
      <w:pPr>
        <w:rPr>
          <w:rFonts w:ascii="Times New Roman" w:hAnsi="Times New Roman" w:cs="Times New Roman"/>
          <w:sz w:val="18"/>
          <w:szCs w:val="18"/>
          <w:lang w:val="en-US" w:eastAsia="it-IT"/>
        </w:rPr>
      </w:pPr>
      <w:r w:rsidRPr="0075467A">
        <w:rPr>
          <w:rFonts w:ascii="Times New Roman" w:hAnsi="Times New Roman" w:cs="Times New Roman"/>
          <w:sz w:val="18"/>
          <w:szCs w:val="18"/>
          <w:vertAlign w:val="superscript"/>
          <w:lang w:val="en-US" w:eastAsia="it-IT"/>
        </w:rPr>
        <w:t>**</w:t>
      </w:r>
      <w:r w:rsidRPr="0075467A">
        <w:t xml:space="preserve"> </w:t>
      </w:r>
      <w:r>
        <w:rPr>
          <w:rFonts w:ascii="Times New Roman" w:hAnsi="Times New Roman" w:cs="Times New Roman"/>
          <w:sz w:val="18"/>
          <w:szCs w:val="18"/>
          <w:lang w:val="en-US" w:eastAsia="it-IT"/>
        </w:rPr>
        <w:t>T</w:t>
      </w:r>
      <w:r w:rsidRPr="0075467A">
        <w:rPr>
          <w:rFonts w:ascii="Times New Roman" w:hAnsi="Times New Roman" w:cs="Times New Roman"/>
          <w:sz w:val="18"/>
          <w:szCs w:val="18"/>
          <w:lang w:val="en-US" w:eastAsia="it-IT"/>
        </w:rPr>
        <w:t>he value corresponds to 0.59% w/w of BD</w:t>
      </w:r>
      <w:r>
        <w:rPr>
          <w:rFonts w:ascii="Times New Roman" w:hAnsi="Times New Roman" w:cs="Times New Roman"/>
          <w:sz w:val="18"/>
          <w:szCs w:val="18"/>
          <w:lang w:val="en-US" w:eastAsia="it-IT"/>
        </w:rPr>
        <w:t>.</w:t>
      </w:r>
    </w:p>
    <w:p w14:paraId="57F73288" w14:textId="77777777" w:rsidR="002E36FD" w:rsidRPr="002E36FD" w:rsidRDefault="002E36FD" w:rsidP="002E36FD">
      <w:pPr>
        <w:rPr>
          <w:lang w:val="en-US" w:eastAsia="it-IT"/>
        </w:rPr>
      </w:pPr>
    </w:p>
    <w:p w14:paraId="48FC71F4" w14:textId="4DD0E01A" w:rsidR="00EA3FE6" w:rsidRPr="00BB66A8" w:rsidRDefault="00A2620A" w:rsidP="00EA3FE6">
      <w:pPr>
        <w:pStyle w:val="Titolo3"/>
        <w:rPr>
          <w:rFonts w:ascii="Times New Roman" w:hAnsi="Times New Roman" w:cs="Times New Roman"/>
        </w:rPr>
      </w:pPr>
      <w:r w:rsidRPr="00BB66A8">
        <w:rPr>
          <w:rFonts w:ascii="Times New Roman" w:hAnsi="Times New Roman" w:cs="Times New Roman"/>
        </w:rPr>
        <w:t>Design and manufacture of 3D Mini-</w:t>
      </w:r>
      <w:r w:rsidR="00F829E3" w:rsidRPr="00BB66A8">
        <w:rPr>
          <w:rFonts w:ascii="Times New Roman" w:hAnsi="Times New Roman" w:cs="Times New Roman"/>
        </w:rPr>
        <w:t>T</w:t>
      </w:r>
      <w:r w:rsidRPr="00BB66A8">
        <w:rPr>
          <w:rFonts w:ascii="Times New Roman" w:hAnsi="Times New Roman" w:cs="Times New Roman"/>
        </w:rPr>
        <w:t>ablets by Direct Powder Extrusion</w:t>
      </w:r>
    </w:p>
    <w:p w14:paraId="0477BBC5" w14:textId="78E1F0DB" w:rsidR="00A2620A" w:rsidRPr="00BB66A8" w:rsidRDefault="00F32E77" w:rsidP="00DA6BEC">
      <w:pPr>
        <w:rPr>
          <w:rFonts w:ascii="Times New Roman" w:hAnsi="Times New Roman" w:cs="Times New Roman"/>
          <w:noProof/>
        </w:rPr>
      </w:pPr>
      <w:r>
        <w:rPr>
          <w:rFonts w:ascii="Times New Roman" w:hAnsi="Times New Roman" w:cs="Times New Roman"/>
        </w:rPr>
        <w:t>T</w:t>
      </w:r>
      <w:r w:rsidRPr="00F32E77">
        <w:rPr>
          <w:rFonts w:ascii="Times New Roman" w:hAnsi="Times New Roman" w:cs="Times New Roman"/>
        </w:rPr>
        <w:t>he resulting feed mixtures were placed</w:t>
      </w:r>
      <w:r>
        <w:rPr>
          <w:rFonts w:ascii="Times New Roman" w:hAnsi="Times New Roman" w:cs="Times New Roman"/>
        </w:rPr>
        <w:t xml:space="preserve"> </w:t>
      </w:r>
      <w:r w:rsidR="00A2620A" w:rsidRPr="00BB66A8">
        <w:rPr>
          <w:rFonts w:ascii="Times New Roman" w:hAnsi="Times New Roman" w:cs="Times New Roman"/>
        </w:rPr>
        <w:t xml:space="preserve">into the hopper of the </w:t>
      </w:r>
      <w:r w:rsidR="00D62A4C" w:rsidRPr="00BB66A8">
        <w:rPr>
          <w:rFonts w:ascii="Times New Roman" w:hAnsi="Times New Roman" w:cs="Times New Roman"/>
        </w:rPr>
        <w:t xml:space="preserve">3D </w:t>
      </w:r>
      <w:r w:rsidR="00A2620A" w:rsidRPr="00BB66A8">
        <w:rPr>
          <w:rFonts w:ascii="Times New Roman" w:hAnsi="Times New Roman" w:cs="Times New Roman"/>
        </w:rPr>
        <w:t xml:space="preserve">ForMe printer (Farmalabor, Canosa, Italy), with a specific extruder for the direct use of powders as previously reported </w:t>
      </w:r>
      <w:r w:rsidR="00432BE0" w:rsidRPr="00BB66A8">
        <w:rPr>
          <w:rFonts w:ascii="Times New Roman" w:hAnsi="Times New Roman" w:cs="Times New Roman"/>
          <w:color w:val="000000"/>
        </w:rPr>
        <w:t>(Pistone et al., 2022)</w:t>
      </w:r>
      <w:r w:rsidR="00A2620A" w:rsidRPr="00BB66A8">
        <w:rPr>
          <w:rFonts w:ascii="Times New Roman" w:hAnsi="Times New Roman" w:cs="Times New Roman"/>
        </w:rPr>
        <w:t>.</w:t>
      </w:r>
      <w:r w:rsidR="007019E4" w:rsidRPr="00BB66A8">
        <w:rPr>
          <w:rFonts w:ascii="Times New Roman" w:hAnsi="Times New Roman" w:cs="Times New Roman"/>
        </w:rPr>
        <w:t xml:space="preserve"> </w:t>
      </w:r>
      <w:r w:rsidR="00A2620A" w:rsidRPr="00BB66A8">
        <w:rPr>
          <w:rFonts w:ascii="Times New Roman" w:hAnsi="Times New Roman" w:cs="Times New Roman"/>
        </w:rPr>
        <w:t xml:space="preserve">A cylindrical geometry with a diameter of </w:t>
      </w:r>
      <w:r w:rsidR="001E62E3" w:rsidRPr="00BB66A8">
        <w:rPr>
          <w:rFonts w:ascii="Times New Roman" w:hAnsi="Times New Roman" w:cs="Times New Roman"/>
        </w:rPr>
        <w:t>5</w:t>
      </w:r>
      <w:r w:rsidR="00A2620A" w:rsidRPr="00BB66A8">
        <w:rPr>
          <w:rFonts w:ascii="Times New Roman" w:hAnsi="Times New Roman" w:cs="Times New Roman"/>
        </w:rPr>
        <w:t xml:space="preserve"> mm and a height of 4 mm was designed using the CAD software Fusion360 and then selected as a template for the MT. The realized design was transferred as a stereolithography file (.stl) to the 3D printer software, Ultimaker Cura (version 4.6.2), and converted into a G-Code file. The parameters set on the 3D MT G-Code file were as follows: </w:t>
      </w:r>
      <w:r w:rsidR="00626B37">
        <w:rPr>
          <w:rFonts w:ascii="Times New Roman" w:hAnsi="Times New Roman" w:cs="Times New Roman"/>
        </w:rPr>
        <w:t>L</w:t>
      </w:r>
      <w:r w:rsidR="00A2620A" w:rsidRPr="00BB66A8">
        <w:rPr>
          <w:rFonts w:ascii="Times New Roman" w:hAnsi="Times New Roman" w:cs="Times New Roman"/>
        </w:rPr>
        <w:t xml:space="preserve">ayer height 0.15 mm, </w:t>
      </w:r>
      <w:r w:rsidR="00A2620A" w:rsidRPr="00BB66A8">
        <w:rPr>
          <w:rFonts w:ascii="Times New Roman" w:hAnsi="Times New Roman" w:cs="Times New Roman"/>
          <w:lang w:val="en-US"/>
        </w:rPr>
        <w:t xml:space="preserve">High resolution with a brim, </w:t>
      </w:r>
      <w:r w:rsidR="00A2620A" w:rsidRPr="00BB66A8">
        <w:rPr>
          <w:rFonts w:ascii="Times New Roman" w:hAnsi="Times New Roman" w:cs="Times New Roman"/>
        </w:rPr>
        <w:t>Top/Bottom Thickness 0.8 mm, Top/Bottom Pattern Zig Zag, Infill Density 70%, Infill Pattern Concentric, Printing Temperature 180 °C, Build Plate Temperature 60 °C, Flow 100%, Print Speed 5 mm/s,</w:t>
      </w:r>
      <w:r w:rsidR="00A2620A" w:rsidRPr="00BB66A8">
        <w:rPr>
          <w:rFonts w:ascii="Times New Roman" w:hAnsi="Times New Roman" w:cs="Times New Roman"/>
          <w:noProof/>
        </w:rPr>
        <w:t xml:space="preserve"> Number of shells 2, Layer height 0.2 mm.</w:t>
      </w:r>
    </w:p>
    <w:p w14:paraId="006B1AB6" w14:textId="25809B76" w:rsidR="00A2620A" w:rsidRPr="00BB66A8" w:rsidRDefault="00A2620A" w:rsidP="00DA6BEC">
      <w:pPr>
        <w:rPr>
          <w:rFonts w:ascii="Times New Roman" w:hAnsi="Times New Roman" w:cs="Times New Roman"/>
        </w:rPr>
      </w:pPr>
      <w:r w:rsidRPr="00BB66A8">
        <w:rPr>
          <w:rFonts w:ascii="Times New Roman" w:hAnsi="Times New Roman" w:cs="Times New Roman"/>
        </w:rPr>
        <w:t xml:space="preserve">The </w:t>
      </w:r>
      <w:r w:rsidR="00D62A4C" w:rsidRPr="00BB66A8">
        <w:rPr>
          <w:rFonts w:ascii="Times New Roman" w:hAnsi="Times New Roman" w:cs="Times New Roman"/>
        </w:rPr>
        <w:t xml:space="preserve">3D </w:t>
      </w:r>
      <w:r w:rsidR="008213A9" w:rsidRPr="00BB66A8">
        <w:rPr>
          <w:rFonts w:ascii="Times New Roman" w:hAnsi="Times New Roman" w:cs="Times New Roman"/>
        </w:rPr>
        <w:t>ForMe printer</w:t>
      </w:r>
      <w:r w:rsidRPr="00BB66A8">
        <w:rPr>
          <w:rFonts w:ascii="Times New Roman" w:hAnsi="Times New Roman" w:cs="Times New Roman"/>
        </w:rPr>
        <w:t xml:space="preserve"> was specifically manufactured to enable the direct extrusion of powders using an extruder, which had a design based on a single-screw HME (Fig</w:t>
      </w:r>
      <w:r w:rsidR="001A118D">
        <w:rPr>
          <w:rFonts w:ascii="Times New Roman" w:hAnsi="Times New Roman" w:cs="Times New Roman"/>
        </w:rPr>
        <w:t xml:space="preserve">. </w:t>
      </w:r>
      <w:r w:rsidRPr="00BB66A8">
        <w:rPr>
          <w:rFonts w:ascii="Times New Roman" w:hAnsi="Times New Roman" w:cs="Times New Roman"/>
        </w:rPr>
        <w:t>1). The screw's rotational speed was regulated by the 3D printer's software and permitted the flow of powder from the hopper to the melting block, thus regulating the extrusion time. In addition, the used nozzle had a diameter of 0.</w:t>
      </w:r>
      <w:r w:rsidR="001E62E3" w:rsidRPr="00BB66A8">
        <w:rPr>
          <w:rFonts w:ascii="Times New Roman" w:hAnsi="Times New Roman" w:cs="Times New Roman"/>
        </w:rPr>
        <w:t>4</w:t>
      </w:r>
      <w:r w:rsidRPr="00BB66A8">
        <w:rPr>
          <w:rFonts w:ascii="Times New Roman" w:hAnsi="Times New Roman" w:cs="Times New Roman"/>
        </w:rPr>
        <w:t xml:space="preserve"> mm and moved in three directions, enabling layer-by-layer production of the 3D objects.</w:t>
      </w:r>
    </w:p>
    <w:p w14:paraId="27EC56B1" w14:textId="33446AF6" w:rsidR="00A2620A" w:rsidRPr="00BB66A8" w:rsidRDefault="00A2620A" w:rsidP="00DA6BEC">
      <w:pPr>
        <w:rPr>
          <w:rFonts w:ascii="Times New Roman" w:hAnsi="Times New Roman" w:cs="Times New Roman"/>
        </w:rPr>
      </w:pPr>
      <w:r w:rsidRPr="00BB66A8">
        <w:rPr>
          <w:rFonts w:ascii="Times New Roman" w:hAnsi="Times New Roman" w:cs="Times New Roman"/>
        </w:rPr>
        <w:t>The three mixtures were printed keeping all the parameters set on the software and described above unchanged.</w:t>
      </w:r>
      <w:r w:rsidR="002404D5" w:rsidRPr="00BB66A8">
        <w:rPr>
          <w:rFonts w:ascii="Times New Roman" w:hAnsi="Times New Roman" w:cs="Times New Roman"/>
        </w:rPr>
        <w:t xml:space="preserve"> Thus, the extrusion of MixBD, MixBD-CD</w:t>
      </w:r>
      <w:r w:rsidR="009A1D5E">
        <w:rPr>
          <w:rFonts w:ascii="Times New Roman" w:hAnsi="Times New Roman" w:cs="Times New Roman"/>
        </w:rPr>
        <w:t>,</w:t>
      </w:r>
      <w:r w:rsidR="002404D5" w:rsidRPr="00BB66A8">
        <w:rPr>
          <w:rFonts w:ascii="Times New Roman" w:hAnsi="Times New Roman" w:cs="Times New Roman"/>
        </w:rPr>
        <w:t xml:space="preserve"> and MixIC resulted in the formulations MT1, MT2, </w:t>
      </w:r>
      <w:r w:rsidR="009A1D5E">
        <w:rPr>
          <w:rFonts w:ascii="Times New Roman" w:hAnsi="Times New Roman" w:cs="Times New Roman"/>
        </w:rPr>
        <w:t xml:space="preserve">and </w:t>
      </w:r>
      <w:r w:rsidR="002404D5" w:rsidRPr="00BB66A8">
        <w:rPr>
          <w:rFonts w:ascii="Times New Roman" w:hAnsi="Times New Roman" w:cs="Times New Roman"/>
        </w:rPr>
        <w:t>MT3 respectively.</w:t>
      </w:r>
      <w:r w:rsidRPr="00BB66A8">
        <w:rPr>
          <w:rFonts w:ascii="Times New Roman" w:hAnsi="Times New Roman" w:cs="Times New Roman"/>
        </w:rPr>
        <w:t xml:space="preserve"> Once the printing of each formulation was completed, the extruder was disassembled: the screw was removed and suitably cleaned while the heating block was separated from the nozzle underneath, which was responded to in specific washing solutions. This operation was constantly repeated to avoid cross-contamination between the studied mixtures. </w:t>
      </w:r>
    </w:p>
    <w:p w14:paraId="30C67BFA" w14:textId="11BE1177" w:rsidR="00A2620A" w:rsidRDefault="00A2620A" w:rsidP="007E22DB">
      <w:pPr>
        <w:rPr>
          <w:rFonts w:ascii="Times New Roman" w:hAnsi="Times New Roman" w:cs="Times New Roman"/>
        </w:rPr>
      </w:pPr>
      <w:r w:rsidRPr="00BB66A8">
        <w:rPr>
          <w:rFonts w:ascii="Times New Roman" w:hAnsi="Times New Roman" w:cs="Times New Roman"/>
        </w:rPr>
        <w:lastRenderedPageBreak/>
        <w:t xml:space="preserve">A batch of </w:t>
      </w:r>
      <w:r w:rsidR="005D402F">
        <w:rPr>
          <w:rFonts w:ascii="Times New Roman" w:hAnsi="Times New Roman" w:cs="Times New Roman"/>
        </w:rPr>
        <w:t>5</w:t>
      </w:r>
      <w:r w:rsidRPr="00BB66A8">
        <w:rPr>
          <w:rFonts w:ascii="Times New Roman" w:hAnsi="Times New Roman" w:cs="Times New Roman"/>
        </w:rPr>
        <w:t>0 MT</w:t>
      </w:r>
      <w:r w:rsidR="00465089" w:rsidRPr="00BB66A8">
        <w:rPr>
          <w:rFonts w:ascii="Times New Roman" w:hAnsi="Times New Roman" w:cs="Times New Roman"/>
        </w:rPr>
        <w:t>s</w:t>
      </w:r>
      <w:r w:rsidRPr="00BB66A8">
        <w:rPr>
          <w:rFonts w:ascii="Times New Roman" w:hAnsi="Times New Roman" w:cs="Times New Roman"/>
        </w:rPr>
        <w:t xml:space="preserve"> per formulation was produced, and the time required to complete the print of each tablet was approximately 3 min.</w:t>
      </w:r>
    </w:p>
    <w:p w14:paraId="26C40B48" w14:textId="77777777" w:rsidR="00755214" w:rsidRPr="00BB66A8" w:rsidRDefault="00755214" w:rsidP="007E22DB">
      <w:pPr>
        <w:rPr>
          <w:rFonts w:ascii="Times New Roman" w:hAnsi="Times New Roman" w:cs="Times New Roman"/>
        </w:rPr>
      </w:pPr>
    </w:p>
    <w:p w14:paraId="493C2559" w14:textId="3C69DFD2" w:rsidR="00755214" w:rsidRPr="00755214" w:rsidRDefault="00755214" w:rsidP="00755214">
      <w:pPr>
        <w:jc w:val="center"/>
        <w:rPr>
          <w:rFonts w:ascii="Times New Roman" w:hAnsi="Times New Roman" w:cs="Times New Roman"/>
          <w:b/>
          <w:bCs/>
          <w:lang w:val="en-US" w:eastAsia="it-IT"/>
        </w:rPr>
      </w:pPr>
      <w:r w:rsidRPr="00755214">
        <w:rPr>
          <w:rFonts w:ascii="Times New Roman" w:hAnsi="Times New Roman" w:cs="Times New Roman"/>
          <w:b/>
          <w:bCs/>
          <w:noProof/>
          <w:lang w:val="it-IT" w:eastAsia="it-IT"/>
        </w:rPr>
        <w:t xml:space="preserve">&lt;&lt; </w:t>
      </w:r>
      <w:r>
        <w:rPr>
          <w:rFonts w:ascii="Times New Roman" w:hAnsi="Times New Roman" w:cs="Times New Roman"/>
          <w:b/>
          <w:bCs/>
          <w:noProof/>
          <w:lang w:val="it-IT" w:eastAsia="it-IT"/>
        </w:rPr>
        <w:t>I</w:t>
      </w:r>
      <w:r w:rsidRPr="00755214">
        <w:rPr>
          <w:rFonts w:ascii="Times New Roman" w:hAnsi="Times New Roman" w:cs="Times New Roman"/>
          <w:b/>
          <w:bCs/>
          <w:noProof/>
          <w:lang w:val="it-IT" w:eastAsia="it-IT"/>
        </w:rPr>
        <w:t>nsert Fig. 1&gt;&gt;</w:t>
      </w:r>
    </w:p>
    <w:p w14:paraId="498EE339" w14:textId="5A9E7A7F" w:rsidR="00A2620A" w:rsidRPr="00BB66A8" w:rsidRDefault="00A2620A" w:rsidP="00A23A55">
      <w:pPr>
        <w:jc w:val="center"/>
        <w:rPr>
          <w:rFonts w:ascii="Times New Roman" w:hAnsi="Times New Roman" w:cs="Times New Roman"/>
        </w:rPr>
      </w:pPr>
    </w:p>
    <w:p w14:paraId="3C901419" w14:textId="351F2B6F" w:rsidR="00A2620A" w:rsidRPr="00BB66A8" w:rsidRDefault="00A2620A" w:rsidP="004D1150">
      <w:pPr>
        <w:pStyle w:val="Titolo3"/>
        <w:rPr>
          <w:rFonts w:ascii="Times New Roman" w:hAnsi="Times New Roman" w:cs="Times New Roman"/>
        </w:rPr>
      </w:pPr>
      <w:bookmarkStart w:id="5" w:name="_Hlk108535397"/>
      <w:r w:rsidRPr="00BB66A8">
        <w:rPr>
          <w:rFonts w:ascii="Times New Roman" w:hAnsi="Times New Roman" w:cs="Times New Roman"/>
        </w:rPr>
        <w:t>Characterization of the 3D Mini-</w:t>
      </w:r>
      <w:r w:rsidR="00F829E3" w:rsidRPr="00BB66A8">
        <w:rPr>
          <w:rFonts w:ascii="Times New Roman" w:hAnsi="Times New Roman" w:cs="Times New Roman"/>
        </w:rPr>
        <w:t>T</w:t>
      </w:r>
      <w:r w:rsidRPr="00BB66A8">
        <w:rPr>
          <w:rFonts w:ascii="Times New Roman" w:hAnsi="Times New Roman" w:cs="Times New Roman"/>
        </w:rPr>
        <w:t>ablets</w:t>
      </w:r>
    </w:p>
    <w:p w14:paraId="7E5FCCE2" w14:textId="5E667986" w:rsidR="00A2620A" w:rsidRPr="00BB66A8" w:rsidRDefault="00A2620A" w:rsidP="004D1150">
      <w:pPr>
        <w:rPr>
          <w:rFonts w:ascii="Times New Roman" w:hAnsi="Times New Roman" w:cs="Times New Roman"/>
        </w:rPr>
      </w:pPr>
      <w:r w:rsidRPr="00BB66A8">
        <w:rPr>
          <w:rFonts w:ascii="Times New Roman" w:hAnsi="Times New Roman" w:cs="Times New Roman"/>
        </w:rPr>
        <w:t xml:space="preserve">The Hitech Diamond digital gauge was used to measure the physical dimensions (diameter and thickness) of </w:t>
      </w:r>
      <w:r w:rsidR="00DE058D" w:rsidRPr="00BB66A8">
        <w:rPr>
          <w:rFonts w:ascii="Times New Roman" w:hAnsi="Times New Roman" w:cs="Times New Roman"/>
        </w:rPr>
        <w:t xml:space="preserve">the </w:t>
      </w:r>
      <w:r w:rsidRPr="00BB66A8">
        <w:rPr>
          <w:rFonts w:ascii="Times New Roman" w:hAnsi="Times New Roman" w:cs="Times New Roman"/>
        </w:rPr>
        <w:t xml:space="preserve">3D MT. The evaluation of the uniformity of weight for each formulation was carried out in accordance with the quality control guidelines for </w:t>
      </w:r>
      <w:r w:rsidRPr="00CA6B01">
        <w:rPr>
          <w:rFonts w:ascii="Times New Roman" w:hAnsi="Times New Roman" w:cs="Times New Roman"/>
        </w:rPr>
        <w:t>magistral</w:t>
      </w:r>
      <w:r w:rsidRPr="00BB66A8">
        <w:rPr>
          <w:rFonts w:ascii="Times New Roman" w:hAnsi="Times New Roman" w:cs="Times New Roman"/>
        </w:rPr>
        <w:t xml:space="preserve"> preparations given in F.U. I. XII </w:t>
      </w:r>
      <w:r w:rsidR="001616F2" w:rsidRPr="00BB66A8">
        <w:rPr>
          <w:rFonts w:ascii="Times New Roman" w:hAnsi="Times New Roman" w:cs="Times New Roman"/>
          <w:noProof/>
          <w:color w:val="000000"/>
        </w:rPr>
        <w:t>(</w:t>
      </w:r>
      <w:r w:rsidR="00ED1EC8">
        <w:rPr>
          <w:rFonts w:ascii="Times New Roman" w:hAnsi="Times New Roman" w:cs="Times New Roman"/>
          <w:noProof/>
          <w:color w:val="000000"/>
        </w:rPr>
        <w:t>F.U.I. XII Ed.</w:t>
      </w:r>
      <w:r w:rsidR="00D62390">
        <w:rPr>
          <w:rFonts w:ascii="Times New Roman" w:hAnsi="Times New Roman" w:cs="Times New Roman"/>
          <w:noProof/>
          <w:color w:val="000000"/>
        </w:rPr>
        <w:t>a</w:t>
      </w:r>
      <w:r w:rsidR="001616F2" w:rsidRPr="00BB66A8">
        <w:rPr>
          <w:rFonts w:ascii="Times New Roman" w:hAnsi="Times New Roman" w:cs="Times New Roman"/>
          <w:noProof/>
          <w:color w:val="000000"/>
        </w:rPr>
        <w:t>)</w:t>
      </w:r>
      <w:r w:rsidRPr="00BB66A8">
        <w:rPr>
          <w:rFonts w:ascii="Times New Roman" w:hAnsi="Times New Roman" w:cs="Times New Roman"/>
        </w:rPr>
        <w:t>. Thus, approximately 10 MT</w:t>
      </w:r>
      <w:r w:rsidR="00465089" w:rsidRPr="00BB66A8">
        <w:rPr>
          <w:rFonts w:ascii="Times New Roman" w:hAnsi="Times New Roman" w:cs="Times New Roman"/>
        </w:rPr>
        <w:t>s</w:t>
      </w:r>
      <w:r w:rsidRPr="00BB66A8">
        <w:rPr>
          <w:rFonts w:ascii="Times New Roman" w:hAnsi="Times New Roman" w:cs="Times New Roman"/>
        </w:rPr>
        <w:t xml:space="preserve"> were randomly selected from </w:t>
      </w:r>
      <w:r w:rsidR="00626B37">
        <w:rPr>
          <w:rFonts w:ascii="Times New Roman" w:hAnsi="Times New Roman" w:cs="Times New Roman"/>
        </w:rPr>
        <w:t>every</w:t>
      </w:r>
      <w:r w:rsidR="00A05FEB">
        <w:rPr>
          <w:rFonts w:ascii="Times New Roman" w:hAnsi="Times New Roman" w:cs="Times New Roman"/>
        </w:rPr>
        <w:t xml:space="preserve"> </w:t>
      </w:r>
      <w:r w:rsidRPr="00BB66A8">
        <w:rPr>
          <w:rFonts w:ascii="Times New Roman" w:hAnsi="Times New Roman" w:cs="Times New Roman"/>
        </w:rPr>
        <w:t xml:space="preserve">three </w:t>
      </w:r>
      <w:r w:rsidR="00174BA6" w:rsidRPr="00BB66A8">
        <w:rPr>
          <w:rFonts w:ascii="Times New Roman" w:hAnsi="Times New Roman" w:cs="Times New Roman"/>
        </w:rPr>
        <w:t>batches and</w:t>
      </w:r>
      <w:r w:rsidRPr="00BB66A8">
        <w:rPr>
          <w:rFonts w:ascii="Times New Roman" w:hAnsi="Times New Roman" w:cs="Times New Roman"/>
        </w:rPr>
        <w:t xml:space="preserve"> accurately weighed using an analytical balance (Radwag XA 82/220/2X). For each batch, the mean mass, standard deviation, and percentage deviation of the weight of </w:t>
      </w:r>
      <w:r w:rsidR="00465089" w:rsidRPr="00BB66A8">
        <w:rPr>
          <w:rFonts w:ascii="Times New Roman" w:hAnsi="Times New Roman" w:cs="Times New Roman"/>
        </w:rPr>
        <w:t xml:space="preserve">a </w:t>
      </w:r>
      <w:r w:rsidRPr="00BB66A8">
        <w:rPr>
          <w:rFonts w:ascii="Times New Roman" w:hAnsi="Times New Roman" w:cs="Times New Roman"/>
        </w:rPr>
        <w:t>single MT from the mean mass were determined. The weight uniformity test was satisfied if all MT</w:t>
      </w:r>
      <w:r w:rsidR="00465089" w:rsidRPr="00BB66A8">
        <w:rPr>
          <w:rFonts w:ascii="Times New Roman" w:hAnsi="Times New Roman" w:cs="Times New Roman"/>
        </w:rPr>
        <w:t>s</w:t>
      </w:r>
      <w:r w:rsidRPr="00BB66A8">
        <w:rPr>
          <w:rFonts w:ascii="Times New Roman" w:hAnsi="Times New Roman" w:cs="Times New Roman"/>
        </w:rPr>
        <w:t xml:space="preserve"> were within the range of ± 10 %</w:t>
      </w:r>
      <w:r w:rsidR="00D8490B" w:rsidRPr="00BB66A8">
        <w:rPr>
          <w:rFonts w:ascii="Times New Roman" w:hAnsi="Times New Roman" w:cs="Times New Roman"/>
        </w:rPr>
        <w:t xml:space="preserve"> </w:t>
      </w:r>
      <w:r w:rsidRPr="00BB66A8">
        <w:rPr>
          <w:rFonts w:ascii="Times New Roman" w:hAnsi="Times New Roman" w:cs="Times New Roman"/>
        </w:rPr>
        <w:t>w/w</w:t>
      </w:r>
      <w:r w:rsidR="00626B37">
        <w:rPr>
          <w:rFonts w:ascii="Times New Roman" w:hAnsi="Times New Roman" w:cs="Times New Roman"/>
        </w:rPr>
        <w:t xml:space="preserve"> </w:t>
      </w:r>
      <w:r w:rsidRPr="00BB66A8">
        <w:rPr>
          <w:rFonts w:ascii="Times New Roman" w:hAnsi="Times New Roman" w:cs="Times New Roman"/>
        </w:rPr>
        <w:t>deviation from the mean. Electrical scanning microscopy (SEM), operating at 20 kV, was used to examine the morphology of the MT obtained during the printing process (Hitachi TM 3000 Tabletop SEM). The mechanical properties of the MT</w:t>
      </w:r>
      <w:r w:rsidR="00465089" w:rsidRPr="00BB66A8">
        <w:rPr>
          <w:rFonts w:ascii="Times New Roman" w:hAnsi="Times New Roman" w:cs="Times New Roman"/>
        </w:rPr>
        <w:t>s</w:t>
      </w:r>
      <w:r w:rsidRPr="00BB66A8">
        <w:rPr>
          <w:rFonts w:ascii="Times New Roman" w:hAnsi="Times New Roman" w:cs="Times New Roman"/>
        </w:rPr>
        <w:t xml:space="preserve"> were assessed by measuring the hardness carried out with a conventional Erweka GmbH D-63150 durometer. Thus, an increasing force perpendicular to the plane was applied to approximately 10 MT</w:t>
      </w:r>
      <w:r w:rsidR="00465089" w:rsidRPr="00BB66A8">
        <w:rPr>
          <w:rFonts w:ascii="Times New Roman" w:hAnsi="Times New Roman" w:cs="Times New Roman"/>
        </w:rPr>
        <w:t>s</w:t>
      </w:r>
      <w:r w:rsidRPr="00BB66A8">
        <w:rPr>
          <w:rFonts w:ascii="Times New Roman" w:hAnsi="Times New Roman" w:cs="Times New Roman"/>
        </w:rPr>
        <w:t xml:space="preserve"> of each formulation until a fracture was formed on the surface of the samples, which was indicative of the total fracture force relative to the MT examined. The friability test was performed as required by F.U. I. XII for tablets with a unit mass less than or equal to 650 mg </w:t>
      </w:r>
      <w:r w:rsidR="00432BE0" w:rsidRPr="00BB66A8">
        <w:rPr>
          <w:rFonts w:ascii="Times New Roman" w:hAnsi="Times New Roman" w:cs="Times New Roman"/>
          <w:color w:val="000000"/>
        </w:rPr>
        <w:t>(</w:t>
      </w:r>
      <w:r w:rsidR="00ED1EC8">
        <w:rPr>
          <w:rFonts w:ascii="Times New Roman" w:hAnsi="Times New Roman" w:cs="Times New Roman"/>
          <w:noProof/>
          <w:color w:val="000000"/>
        </w:rPr>
        <w:t>F.U.I. XII Ed</w:t>
      </w:r>
      <w:r w:rsidR="00432BE0" w:rsidRPr="00BB66A8">
        <w:rPr>
          <w:rFonts w:ascii="Times New Roman" w:hAnsi="Times New Roman" w:cs="Times New Roman"/>
          <w:color w:val="000000"/>
        </w:rPr>
        <w:t>.</w:t>
      </w:r>
      <w:r w:rsidR="00D62390">
        <w:rPr>
          <w:rFonts w:ascii="Times New Roman" w:hAnsi="Times New Roman" w:cs="Times New Roman"/>
          <w:color w:val="000000"/>
        </w:rPr>
        <w:t>b</w:t>
      </w:r>
      <w:r w:rsidR="00432BE0" w:rsidRPr="00BB66A8">
        <w:rPr>
          <w:rFonts w:ascii="Times New Roman" w:hAnsi="Times New Roman" w:cs="Times New Roman"/>
          <w:color w:val="000000"/>
        </w:rPr>
        <w:t>)</w:t>
      </w:r>
      <w:r w:rsidRPr="00BB66A8">
        <w:rPr>
          <w:rFonts w:ascii="Times New Roman" w:hAnsi="Times New Roman" w:cs="Times New Roman"/>
        </w:rPr>
        <w:t>. Briefly, taking a number of whole MT</w:t>
      </w:r>
      <w:r w:rsidR="00465089" w:rsidRPr="00BB66A8">
        <w:rPr>
          <w:rFonts w:ascii="Times New Roman" w:hAnsi="Times New Roman" w:cs="Times New Roman"/>
        </w:rPr>
        <w:t>s</w:t>
      </w:r>
      <w:r w:rsidRPr="00BB66A8">
        <w:rPr>
          <w:rFonts w:ascii="Times New Roman" w:hAnsi="Times New Roman" w:cs="Times New Roman"/>
        </w:rPr>
        <w:t xml:space="preserve"> having a mass as close as possible to 6.5</w:t>
      </w:r>
      <w:r w:rsidR="0083089E">
        <w:rPr>
          <w:rFonts w:ascii="Times New Roman" w:hAnsi="Times New Roman" w:cs="Times New Roman"/>
        </w:rPr>
        <w:t xml:space="preserve"> </w:t>
      </w:r>
      <w:r w:rsidRPr="00BB66A8">
        <w:rPr>
          <w:rFonts w:ascii="Times New Roman" w:hAnsi="Times New Roman" w:cs="Times New Roman"/>
        </w:rPr>
        <w:t>g, these were carefully depulveri</w:t>
      </w:r>
      <w:r w:rsidR="008213A9" w:rsidRPr="00BB66A8">
        <w:rPr>
          <w:rFonts w:ascii="Times New Roman" w:hAnsi="Times New Roman" w:cs="Times New Roman"/>
        </w:rPr>
        <w:t>z</w:t>
      </w:r>
      <w:r w:rsidRPr="00BB66A8">
        <w:rPr>
          <w:rFonts w:ascii="Times New Roman" w:hAnsi="Times New Roman" w:cs="Times New Roman"/>
        </w:rPr>
        <w:t>ed and weighed. Subsequently, they were placed inside the Erweka GmbH TA 100 friabilometer and rotated at 25 ± 1 rpm for 4 minutes. The recovered MT</w:t>
      </w:r>
      <w:r w:rsidR="00465089" w:rsidRPr="00BB66A8">
        <w:rPr>
          <w:rFonts w:ascii="Times New Roman" w:hAnsi="Times New Roman" w:cs="Times New Roman"/>
        </w:rPr>
        <w:t>s</w:t>
      </w:r>
      <w:r w:rsidRPr="00BB66A8">
        <w:rPr>
          <w:rFonts w:ascii="Times New Roman" w:hAnsi="Times New Roman" w:cs="Times New Roman"/>
        </w:rPr>
        <w:t xml:space="preserve"> were again depulverized and reweighed, in order to assess the weight difference expressed as a percentage. The friability test was performed on the MT of each formulation. Also, the disintegration test </w:t>
      </w:r>
      <w:r w:rsidR="003E44E3">
        <w:rPr>
          <w:rFonts w:ascii="Times New Roman" w:hAnsi="Times New Roman" w:cs="Times New Roman"/>
        </w:rPr>
        <w:t>was</w:t>
      </w:r>
      <w:r w:rsidRPr="00BB66A8">
        <w:rPr>
          <w:rFonts w:ascii="Times New Roman" w:hAnsi="Times New Roman" w:cs="Times New Roman"/>
        </w:rPr>
        <w:t xml:space="preserve"> conducted on each formulation, following the guidelines given in F.U.I. XII </w:t>
      </w:r>
      <w:r w:rsidR="00432BE0" w:rsidRPr="00BB66A8">
        <w:rPr>
          <w:rFonts w:ascii="Times New Roman" w:hAnsi="Times New Roman" w:cs="Times New Roman"/>
          <w:color w:val="000000"/>
        </w:rPr>
        <w:t>(</w:t>
      </w:r>
      <w:r w:rsidR="00ED1EC8">
        <w:rPr>
          <w:rFonts w:ascii="Times New Roman" w:hAnsi="Times New Roman" w:cs="Times New Roman"/>
          <w:noProof/>
          <w:color w:val="000000"/>
        </w:rPr>
        <w:t>F.U.I. XII Ed</w:t>
      </w:r>
      <w:r w:rsidR="00432BE0" w:rsidRPr="00BB66A8">
        <w:rPr>
          <w:rFonts w:ascii="Times New Roman" w:hAnsi="Times New Roman" w:cs="Times New Roman"/>
          <w:color w:val="000000"/>
        </w:rPr>
        <w:t>.</w:t>
      </w:r>
      <w:r w:rsidR="00D62390">
        <w:rPr>
          <w:rFonts w:ascii="Times New Roman" w:hAnsi="Times New Roman" w:cs="Times New Roman"/>
          <w:color w:val="000000"/>
        </w:rPr>
        <w:t>c</w:t>
      </w:r>
      <w:r w:rsidR="00432BE0" w:rsidRPr="00BB66A8">
        <w:rPr>
          <w:rFonts w:ascii="Times New Roman" w:hAnsi="Times New Roman" w:cs="Times New Roman"/>
          <w:color w:val="000000"/>
        </w:rPr>
        <w:t>)</w:t>
      </w:r>
      <w:r w:rsidRPr="00BB66A8">
        <w:rPr>
          <w:rFonts w:ascii="Times New Roman" w:hAnsi="Times New Roman" w:cs="Times New Roman"/>
        </w:rPr>
        <w:t>. The test was performed in a basket disintegrator</w:t>
      </w:r>
      <w:r w:rsidRPr="00BB66A8">
        <w:rPr>
          <w:rFonts w:ascii="Times New Roman" w:hAnsi="Times New Roman" w:cs="Times New Roman"/>
          <w:color w:val="333333"/>
          <w:sz w:val="27"/>
          <w:szCs w:val="27"/>
          <w:shd w:val="clear" w:color="auto" w:fill="FCFCFC"/>
        </w:rPr>
        <w:t xml:space="preserve"> </w:t>
      </w:r>
      <w:r w:rsidRPr="00BB66A8">
        <w:rPr>
          <w:rFonts w:ascii="Times New Roman" w:hAnsi="Times New Roman" w:cs="Times New Roman"/>
        </w:rPr>
        <w:t>(Erweka ZT3-1 Disintegration Tester), thermoregulated at 37 ± 1 °C. Placing the MT</w:t>
      </w:r>
      <w:r w:rsidR="00465089" w:rsidRPr="00BB66A8">
        <w:rPr>
          <w:rFonts w:ascii="Times New Roman" w:hAnsi="Times New Roman" w:cs="Times New Roman"/>
        </w:rPr>
        <w:t>s</w:t>
      </w:r>
      <w:r w:rsidRPr="00BB66A8">
        <w:rPr>
          <w:rFonts w:ascii="Times New Roman" w:hAnsi="Times New Roman" w:cs="Times New Roman"/>
        </w:rPr>
        <w:t xml:space="preserve"> inside the appropriate baskets, they were kept for two hours in an acid medium (HCl 0.1N) and then in a pH 6.8 buffer solution for one hour.</w:t>
      </w:r>
    </w:p>
    <w:p w14:paraId="3C43F715" w14:textId="77777777" w:rsidR="00A2620A" w:rsidRPr="00BB66A8" w:rsidRDefault="00A2620A" w:rsidP="004D1150">
      <w:pPr>
        <w:pStyle w:val="Titolo3"/>
        <w:rPr>
          <w:rFonts w:ascii="Times New Roman" w:hAnsi="Times New Roman" w:cs="Times New Roman"/>
        </w:rPr>
      </w:pPr>
      <w:r w:rsidRPr="00BB66A8">
        <w:rPr>
          <w:rFonts w:ascii="Times New Roman" w:hAnsi="Times New Roman" w:cs="Times New Roman"/>
        </w:rPr>
        <w:t>Determination of loaded drug by HPLC</w:t>
      </w:r>
    </w:p>
    <w:p w14:paraId="166AB992" w14:textId="78E6A0D0" w:rsidR="00A2620A" w:rsidRPr="00BB66A8" w:rsidRDefault="00A2620A" w:rsidP="004D1150">
      <w:pPr>
        <w:rPr>
          <w:rFonts w:ascii="Times New Roman" w:hAnsi="Times New Roman" w:cs="Times New Roman"/>
        </w:rPr>
      </w:pPr>
      <w:r w:rsidRPr="00BB66A8">
        <w:rPr>
          <w:rFonts w:ascii="Times New Roman" w:hAnsi="Times New Roman" w:cs="Times New Roman"/>
        </w:rPr>
        <w:t>One MT of each formulation was dissolved within a volumetric flask</w:t>
      </w:r>
      <w:r w:rsidR="00871960">
        <w:rPr>
          <w:rFonts w:ascii="Times New Roman" w:hAnsi="Times New Roman" w:cs="Times New Roman"/>
        </w:rPr>
        <w:t xml:space="preserve"> </w:t>
      </w:r>
      <w:r w:rsidR="00871960" w:rsidRPr="00BB66A8">
        <w:rPr>
          <w:rFonts w:ascii="Times New Roman" w:hAnsi="Times New Roman" w:cs="Times New Roman"/>
        </w:rPr>
        <w:t>(50 mL)</w:t>
      </w:r>
      <w:r w:rsidR="00871960">
        <w:rPr>
          <w:rFonts w:ascii="Times New Roman" w:hAnsi="Times New Roman" w:cs="Times New Roman"/>
        </w:rPr>
        <w:t xml:space="preserve"> </w:t>
      </w:r>
      <w:r w:rsidRPr="00BB66A8">
        <w:rPr>
          <w:rFonts w:ascii="Times New Roman" w:hAnsi="Times New Roman" w:cs="Times New Roman"/>
        </w:rPr>
        <w:t xml:space="preserve">with </w:t>
      </w:r>
      <w:r w:rsidR="00871960">
        <w:rPr>
          <w:rFonts w:ascii="Times New Roman" w:hAnsi="Times New Roman" w:cs="Times New Roman"/>
        </w:rPr>
        <w:t xml:space="preserve">a </w:t>
      </w:r>
      <w:r w:rsidR="00871960" w:rsidRPr="00871960">
        <w:rPr>
          <w:rFonts w:ascii="Times New Roman" w:hAnsi="Times New Roman" w:cs="Times New Roman"/>
        </w:rPr>
        <w:t>mixture</w:t>
      </w:r>
      <w:r w:rsidR="00871960" w:rsidRPr="00BB66A8">
        <w:rPr>
          <w:rFonts w:ascii="Times New Roman" w:hAnsi="Times New Roman" w:cs="Times New Roman"/>
        </w:rPr>
        <w:t xml:space="preserve"> methanol: water </w:t>
      </w:r>
      <w:r w:rsidR="00871960">
        <w:rPr>
          <w:rFonts w:ascii="Times New Roman" w:hAnsi="Times New Roman" w:cs="Times New Roman"/>
        </w:rPr>
        <w:t xml:space="preserve">in a ratio </w:t>
      </w:r>
      <w:r w:rsidRPr="00BB66A8">
        <w:rPr>
          <w:rFonts w:ascii="Times New Roman" w:hAnsi="Times New Roman" w:cs="Times New Roman"/>
        </w:rPr>
        <w:t>70:30 and left stirring at room temperature until completely dissolved.  The samples were then filtered through 0.22 µm cellulose acetate filters and</w:t>
      </w:r>
      <w:r w:rsidR="00D55A7F">
        <w:rPr>
          <w:rFonts w:ascii="Times New Roman" w:hAnsi="Times New Roman" w:cs="Times New Roman"/>
        </w:rPr>
        <w:t xml:space="preserve"> </w:t>
      </w:r>
      <w:r w:rsidRPr="00BB66A8">
        <w:rPr>
          <w:rFonts w:ascii="Times New Roman" w:hAnsi="Times New Roman" w:cs="Times New Roman"/>
        </w:rPr>
        <w:t xml:space="preserve">analysed by HPLC, using </w:t>
      </w:r>
      <w:r w:rsidR="004A3D9C" w:rsidRPr="00BB66A8">
        <w:rPr>
          <w:rFonts w:ascii="Times New Roman" w:hAnsi="Times New Roman" w:cs="Times New Roman"/>
        </w:rPr>
        <w:t xml:space="preserve">the </w:t>
      </w:r>
      <w:r w:rsidRPr="00BB66A8">
        <w:rPr>
          <w:rFonts w:ascii="Times New Roman" w:hAnsi="Times New Roman" w:cs="Times New Roman"/>
        </w:rPr>
        <w:t>same method described in Section 2.3. The analysis was performed on 10 MTs for each studied formulation.</w:t>
      </w:r>
    </w:p>
    <w:p w14:paraId="175DE0D2" w14:textId="475CD5D3" w:rsidR="00A2620A" w:rsidRPr="00BB66A8" w:rsidRDefault="00A2620A" w:rsidP="00537322">
      <w:pPr>
        <w:pStyle w:val="Titolo3"/>
        <w:rPr>
          <w:rFonts w:ascii="Times New Roman" w:hAnsi="Times New Roman" w:cs="Times New Roman"/>
        </w:rPr>
      </w:pPr>
      <w:r w:rsidRPr="00BB66A8">
        <w:rPr>
          <w:rFonts w:ascii="Times New Roman" w:hAnsi="Times New Roman" w:cs="Times New Roman"/>
        </w:rPr>
        <w:t>Solid state characteri</w:t>
      </w:r>
      <w:r w:rsidR="00A05FEB">
        <w:rPr>
          <w:rFonts w:ascii="Times New Roman" w:hAnsi="Times New Roman" w:cs="Times New Roman"/>
        </w:rPr>
        <w:t>s</w:t>
      </w:r>
      <w:r w:rsidRPr="00BB66A8">
        <w:rPr>
          <w:rFonts w:ascii="Times New Roman" w:hAnsi="Times New Roman" w:cs="Times New Roman"/>
        </w:rPr>
        <w:t>ation of 3D Mini-</w:t>
      </w:r>
      <w:r w:rsidR="00F829E3" w:rsidRPr="00BB66A8">
        <w:rPr>
          <w:rFonts w:ascii="Times New Roman" w:hAnsi="Times New Roman" w:cs="Times New Roman"/>
        </w:rPr>
        <w:t>T</w:t>
      </w:r>
      <w:r w:rsidRPr="00BB66A8">
        <w:rPr>
          <w:rFonts w:ascii="Times New Roman" w:hAnsi="Times New Roman" w:cs="Times New Roman"/>
        </w:rPr>
        <w:t>ablets</w:t>
      </w:r>
    </w:p>
    <w:bookmarkEnd w:id="5"/>
    <w:p w14:paraId="07869669" w14:textId="76911BD7" w:rsidR="00A2620A" w:rsidRPr="00BB66A8" w:rsidRDefault="00A2620A" w:rsidP="00DA6BEC">
      <w:pPr>
        <w:rPr>
          <w:rFonts w:ascii="Times New Roman" w:hAnsi="Times New Roman" w:cs="Times New Roman"/>
        </w:rPr>
      </w:pPr>
      <w:r w:rsidRPr="00BB66A8">
        <w:rPr>
          <w:rFonts w:ascii="Times New Roman" w:hAnsi="Times New Roman" w:cs="Times New Roman"/>
        </w:rPr>
        <w:t>The solid-state characterisation of MT</w:t>
      </w:r>
      <w:r w:rsidR="007F3BB3" w:rsidRPr="00BB66A8">
        <w:rPr>
          <w:rFonts w:ascii="Times New Roman" w:hAnsi="Times New Roman" w:cs="Times New Roman"/>
        </w:rPr>
        <w:t>s</w:t>
      </w:r>
      <w:r w:rsidRPr="00BB66A8">
        <w:rPr>
          <w:rFonts w:ascii="Times New Roman" w:hAnsi="Times New Roman" w:cs="Times New Roman"/>
        </w:rPr>
        <w:t xml:space="preserve"> was conducted and compared with </w:t>
      </w:r>
      <w:r w:rsidR="003E44E3">
        <w:rPr>
          <w:rFonts w:ascii="Times New Roman" w:hAnsi="Times New Roman" w:cs="Times New Roman"/>
        </w:rPr>
        <w:t xml:space="preserve">those of </w:t>
      </w:r>
      <w:r w:rsidRPr="00BB66A8">
        <w:rPr>
          <w:rFonts w:ascii="Times New Roman" w:hAnsi="Times New Roman" w:cs="Times New Roman"/>
        </w:rPr>
        <w:t>the pure drug, physical mixtures containing only the excipients, and physical mixtures containing both the excipients and the drug. They were studied by Fourier transform infrared spectroscopy (FT-IR), differential scanning calorimetry (DSC), and powder X-ray diffra</w:t>
      </w:r>
      <w:r w:rsidR="00B55005" w:rsidRPr="00BB66A8">
        <w:rPr>
          <w:rFonts w:ascii="Times New Roman" w:hAnsi="Times New Roman" w:cs="Times New Roman"/>
        </w:rPr>
        <w:t>ction</w:t>
      </w:r>
      <w:r w:rsidRPr="00BB66A8">
        <w:rPr>
          <w:rFonts w:ascii="Times New Roman" w:hAnsi="Times New Roman" w:cs="Times New Roman"/>
        </w:rPr>
        <w:t xml:space="preserve"> (PXRD).</w:t>
      </w:r>
    </w:p>
    <w:p w14:paraId="5144DD83" w14:textId="3A632513" w:rsidR="00A2620A" w:rsidRPr="00BB66A8" w:rsidRDefault="00A2620A" w:rsidP="00DA6BEC">
      <w:pPr>
        <w:rPr>
          <w:rFonts w:ascii="Times New Roman" w:hAnsi="Times New Roman" w:cs="Times New Roman"/>
          <w:lang w:val="en-US"/>
        </w:rPr>
      </w:pPr>
      <w:r w:rsidRPr="00BB66A8">
        <w:rPr>
          <w:rFonts w:ascii="Times New Roman" w:hAnsi="Times New Roman" w:cs="Times New Roman"/>
        </w:rPr>
        <w:t>For FT-IR analysis, KBr pellets (2% of the sample) were analysed by FT-IR 1600 Perkin Elmer</w:t>
      </w:r>
      <w:r w:rsidRPr="00BB66A8">
        <w:rPr>
          <w:rFonts w:ascii="Times New Roman" w:hAnsi="Times New Roman" w:cs="Times New Roman"/>
          <w:i/>
          <w:iCs/>
        </w:rPr>
        <w:t xml:space="preserve"> </w:t>
      </w:r>
      <w:r w:rsidRPr="00BB66A8">
        <w:rPr>
          <w:rFonts w:ascii="Times New Roman" w:hAnsi="Times New Roman" w:cs="Times New Roman"/>
          <w:lang w:val="en-US"/>
        </w:rPr>
        <w:t>spectrophotometer</w:t>
      </w:r>
      <w:r w:rsidRPr="00BB66A8">
        <w:rPr>
          <w:rFonts w:ascii="Times New Roman" w:hAnsi="Times New Roman" w:cs="Times New Roman"/>
        </w:rPr>
        <w:t>. Data were acquired between 4000 cm</w:t>
      </w:r>
      <w:r w:rsidRPr="00BB66A8">
        <w:rPr>
          <w:rFonts w:ascii="Times New Roman" w:hAnsi="Times New Roman" w:cs="Times New Roman"/>
          <w:vertAlign w:val="superscript"/>
        </w:rPr>
        <w:t>-1</w:t>
      </w:r>
      <w:r w:rsidRPr="00BB66A8">
        <w:rPr>
          <w:rFonts w:ascii="Times New Roman" w:hAnsi="Times New Roman" w:cs="Times New Roman"/>
        </w:rPr>
        <w:t xml:space="preserve"> and 400 cm</w:t>
      </w:r>
      <w:r w:rsidRPr="00BB66A8">
        <w:rPr>
          <w:rFonts w:ascii="Times New Roman" w:hAnsi="Times New Roman" w:cs="Times New Roman"/>
          <w:vertAlign w:val="superscript"/>
        </w:rPr>
        <w:t>-1</w:t>
      </w:r>
      <w:r w:rsidRPr="00BB66A8">
        <w:rPr>
          <w:rFonts w:ascii="Times New Roman" w:hAnsi="Times New Roman" w:cs="Times New Roman"/>
        </w:rPr>
        <w:t xml:space="preserve">. Thermal DSC analysis was performed using the Mettler Toledo DSC822 instrument, which used nitrogen at 50 mL/min as the purge gas. Indium was used as a blank control and as a standard for enthalpy and temperature calibration. Samples (5-10 mg) were placed </w:t>
      </w:r>
      <w:r w:rsidR="002E7762" w:rsidRPr="002E7762">
        <w:rPr>
          <w:rFonts w:ascii="Times New Roman" w:hAnsi="Times New Roman" w:cs="Times New Roman"/>
        </w:rPr>
        <w:t>in a</w:t>
      </w:r>
      <w:r w:rsidR="002E7762">
        <w:rPr>
          <w:rFonts w:ascii="Times New Roman" w:hAnsi="Times New Roman" w:cs="Times New Roman"/>
        </w:rPr>
        <w:t>n</w:t>
      </w:r>
      <w:r w:rsidR="002E7762" w:rsidRPr="002E7762">
        <w:rPr>
          <w:rFonts w:ascii="Times New Roman" w:hAnsi="Times New Roman" w:cs="Times New Roman"/>
        </w:rPr>
        <w:t xml:space="preserve"> aluminium pan of 40 ml capacity and 0.1 mm thickness, closed with perforated aluminium lids</w:t>
      </w:r>
      <w:r w:rsidR="002E7762">
        <w:rPr>
          <w:rFonts w:ascii="Times New Roman" w:hAnsi="Times New Roman" w:cs="Times New Roman"/>
        </w:rPr>
        <w:t>.</w:t>
      </w:r>
      <w:r w:rsidR="002E7762" w:rsidRPr="002E7762">
        <w:rPr>
          <w:rFonts w:ascii="Times New Roman" w:hAnsi="Times New Roman" w:cs="Times New Roman"/>
        </w:rPr>
        <w:t xml:space="preserve"> Finally, they were heated at the rate of 5 °C/min from 25 to 280 °C. </w:t>
      </w:r>
      <w:r w:rsidRPr="00BB66A8">
        <w:rPr>
          <w:rFonts w:ascii="Times New Roman" w:eastAsia="NSimSun" w:hAnsi="Times New Roman" w:cs="Times New Roman"/>
          <w:color w:val="auto"/>
          <w:kern w:val="3"/>
          <w:lang w:val="en-US" w:eastAsia="zh-CN" w:bidi="hi-IN"/>
        </w:rPr>
        <w:t xml:space="preserve">For PXRD analysis, </w:t>
      </w:r>
      <w:r w:rsidRPr="00BB66A8">
        <w:rPr>
          <w:rFonts w:ascii="Times New Roman" w:hAnsi="Times New Roman" w:cs="Times New Roman"/>
          <w:lang w:val="en-US"/>
        </w:rPr>
        <w:t>the patterns were collected by using a Rigaku Rint2500 rotating Cu anode, working at 50 kV and 200 mA in Debye−Scherrer geometry. The diffractometer is equipped with an asymmetric Johansson Ge (111) crystal to select the monochromatic CuKα</w:t>
      </w:r>
      <w:r w:rsidRPr="00BB66A8">
        <w:rPr>
          <w:rFonts w:ascii="Times New Roman" w:hAnsi="Times New Roman" w:cs="Times New Roman"/>
          <w:vertAlign w:val="subscript"/>
          <w:lang w:val="en-US"/>
        </w:rPr>
        <w:t>1</w:t>
      </w:r>
      <w:r w:rsidRPr="00BB66A8">
        <w:rPr>
          <w:rFonts w:ascii="Times New Roman" w:hAnsi="Times New Roman" w:cs="Times New Roman"/>
          <w:lang w:val="en-US"/>
        </w:rPr>
        <w:t xml:space="preserve"> radiation (λ = 1.54056 Å) and the silicon strip Rigaku D/teX Ultra detector. </w:t>
      </w:r>
      <w:r w:rsidRPr="00BB66A8">
        <w:rPr>
          <w:rFonts w:ascii="Times New Roman" w:hAnsi="Times New Roman" w:cs="Times New Roman"/>
          <w:lang w:val="en-US"/>
        </w:rPr>
        <w:lastRenderedPageBreak/>
        <w:t xml:space="preserve">The range from 5 to </w:t>
      </w:r>
      <w:r w:rsidR="00B55005" w:rsidRPr="00BB66A8">
        <w:rPr>
          <w:rFonts w:ascii="Times New Roman" w:hAnsi="Times New Roman" w:cs="Times New Roman"/>
          <w:lang w:val="en-US"/>
        </w:rPr>
        <w:t>100</w:t>
      </w:r>
      <w:r w:rsidRPr="00BB66A8">
        <w:rPr>
          <w:rFonts w:ascii="Times New Roman" w:hAnsi="Times New Roman" w:cs="Times New Roman"/>
          <w:lang w:val="en-US"/>
        </w:rPr>
        <w:sym w:font="Symbol" w:char="F0B0"/>
      </w:r>
      <w:r w:rsidRPr="00BB66A8">
        <w:rPr>
          <w:rFonts w:ascii="Times New Roman" w:hAnsi="Times New Roman" w:cs="Times New Roman"/>
          <w:lang w:val="en-US"/>
        </w:rPr>
        <w:t xml:space="preserve"> (2</w:t>
      </w:r>
      <w:r w:rsidRPr="00BB66A8">
        <w:rPr>
          <w:rFonts w:ascii="Times New Roman" w:hAnsi="Times New Roman" w:cs="Times New Roman"/>
          <w:lang w:val="en-US"/>
        </w:rPr>
        <w:sym w:font="Symbol" w:char="F04A"/>
      </w:r>
      <w:r w:rsidRPr="00BB66A8">
        <w:rPr>
          <w:rFonts w:ascii="Times New Roman" w:hAnsi="Times New Roman" w:cs="Times New Roman"/>
          <w:lang w:val="en-US"/>
        </w:rPr>
        <w:t>) was collected with a 0.02</w:t>
      </w:r>
      <w:r w:rsidRPr="00BB66A8">
        <w:rPr>
          <w:rFonts w:ascii="Times New Roman" w:hAnsi="Times New Roman" w:cs="Times New Roman"/>
          <w:lang w:val="en-US"/>
        </w:rPr>
        <w:sym w:font="Symbol" w:char="F0B0"/>
      </w:r>
      <w:r w:rsidRPr="00BB66A8">
        <w:rPr>
          <w:rFonts w:ascii="Times New Roman" w:hAnsi="Times New Roman" w:cs="Times New Roman"/>
          <w:lang w:val="en-US"/>
        </w:rPr>
        <w:t xml:space="preserve"> (2</w:t>
      </w:r>
      <w:r w:rsidRPr="00BB66A8">
        <w:rPr>
          <w:rFonts w:ascii="Times New Roman" w:hAnsi="Times New Roman" w:cs="Times New Roman"/>
          <w:lang w:val="en-US"/>
        </w:rPr>
        <w:sym w:font="Symbol" w:char="F04A"/>
      </w:r>
      <w:r w:rsidRPr="00BB66A8">
        <w:rPr>
          <w:rFonts w:ascii="Times New Roman" w:hAnsi="Times New Roman" w:cs="Times New Roman"/>
          <w:lang w:val="en-US"/>
        </w:rPr>
        <w:t xml:space="preserve">) step size and a counting time of </w:t>
      </w:r>
      <w:r w:rsidR="00B55005" w:rsidRPr="00BB66A8">
        <w:rPr>
          <w:rFonts w:ascii="Times New Roman" w:hAnsi="Times New Roman" w:cs="Times New Roman"/>
          <w:lang w:val="en-US"/>
        </w:rPr>
        <w:t>2</w:t>
      </w:r>
      <w:r w:rsidRPr="00BB66A8">
        <w:rPr>
          <w:rFonts w:ascii="Times New Roman" w:hAnsi="Times New Roman" w:cs="Times New Roman"/>
          <w:lang w:val="en-US"/>
        </w:rPr>
        <w:t xml:space="preserve"> s/step. Each powder was introduced in a glass capillary of 0.5 mm </w:t>
      </w:r>
      <w:r w:rsidR="004A3D9C" w:rsidRPr="00BB66A8">
        <w:rPr>
          <w:rFonts w:ascii="Times New Roman" w:hAnsi="Times New Roman" w:cs="Times New Roman"/>
          <w:lang w:val="en-US"/>
        </w:rPr>
        <w:t xml:space="preserve">in </w:t>
      </w:r>
      <w:r w:rsidRPr="00BB66A8">
        <w:rPr>
          <w:rFonts w:ascii="Times New Roman" w:hAnsi="Times New Roman" w:cs="Times New Roman"/>
          <w:lang w:val="en-US"/>
        </w:rPr>
        <w:t>diameter and mounted on the axis of the goniometer. The capillary was rotated during the measurement to improve the randomization of the orientations of the individual crystallites to reduce the effect of possible preferred orientation.</w:t>
      </w:r>
    </w:p>
    <w:p w14:paraId="59F2BA3D" w14:textId="5E58B5D8" w:rsidR="00A2620A" w:rsidRPr="00BB66A8" w:rsidRDefault="00A2620A" w:rsidP="00383BB0">
      <w:pPr>
        <w:pStyle w:val="Titolo3"/>
        <w:rPr>
          <w:rFonts w:ascii="Times New Roman" w:hAnsi="Times New Roman" w:cs="Times New Roman"/>
        </w:rPr>
      </w:pPr>
      <w:r w:rsidRPr="00BB66A8">
        <w:rPr>
          <w:rFonts w:ascii="Times New Roman" w:hAnsi="Times New Roman" w:cs="Times New Roman"/>
        </w:rPr>
        <w:t>In Vitro Drug Release Studies on 3D Mini-Tablets</w:t>
      </w:r>
    </w:p>
    <w:p w14:paraId="4FDF9338" w14:textId="584CD222" w:rsidR="00A2620A" w:rsidRPr="00BB66A8" w:rsidRDefault="00A2620A" w:rsidP="00DA6BEC">
      <w:pPr>
        <w:rPr>
          <w:rFonts w:ascii="Times New Roman" w:hAnsi="Times New Roman" w:cs="Times New Roman"/>
          <w:noProof/>
        </w:rPr>
      </w:pPr>
      <w:r w:rsidRPr="00BB66A8">
        <w:rPr>
          <w:rFonts w:ascii="Times New Roman" w:hAnsi="Times New Roman" w:cs="Times New Roman"/>
        </w:rPr>
        <w:t>The impact of the different polymer composition</w:t>
      </w:r>
      <w:r w:rsidR="0027622A" w:rsidRPr="00BB66A8">
        <w:rPr>
          <w:rFonts w:ascii="Times New Roman" w:hAnsi="Times New Roman" w:cs="Times New Roman"/>
        </w:rPr>
        <w:t>s</w:t>
      </w:r>
      <w:r w:rsidRPr="00BB66A8">
        <w:rPr>
          <w:rFonts w:ascii="Times New Roman" w:hAnsi="Times New Roman" w:cs="Times New Roman"/>
        </w:rPr>
        <w:t xml:space="preserve"> of the three mixtures on the release profile of BD was investigated using a</w:t>
      </w:r>
      <w:r w:rsidR="000E5A81">
        <w:rPr>
          <w:rFonts w:ascii="Times New Roman" w:hAnsi="Times New Roman" w:cs="Times New Roman"/>
        </w:rPr>
        <w:t xml:space="preserve"> </w:t>
      </w:r>
      <w:r w:rsidRPr="00BB66A8">
        <w:rPr>
          <w:rFonts w:ascii="Times New Roman" w:hAnsi="Times New Roman" w:cs="Times New Roman"/>
        </w:rPr>
        <w:t>dissolution test paddle apparatus (VK 7000). The analyses were conducted in triplicate, setting the paddle rotation speed at 100 rpm and the temperature of the vessels at 37 ± 2</w:t>
      </w:r>
      <w:r w:rsidR="00BE7B0E">
        <w:rPr>
          <w:rFonts w:ascii="Times New Roman" w:hAnsi="Times New Roman" w:cs="Times New Roman"/>
        </w:rPr>
        <w:t xml:space="preserve"> </w:t>
      </w:r>
      <w:r w:rsidR="003E44E3">
        <w:rPr>
          <w:rFonts w:ascii="Times New Roman" w:hAnsi="Times New Roman" w:cs="Times New Roman"/>
        </w:rPr>
        <w:t>°</w:t>
      </w:r>
      <w:r w:rsidRPr="00BB66A8">
        <w:rPr>
          <w:rFonts w:ascii="Times New Roman" w:hAnsi="Times New Roman" w:cs="Times New Roman"/>
        </w:rPr>
        <w:t xml:space="preserve">C. </w:t>
      </w:r>
      <w:r w:rsidR="004869E4" w:rsidRPr="004869E4">
        <w:rPr>
          <w:rFonts w:ascii="Times New Roman" w:hAnsi="Times New Roman" w:cs="Times New Roman"/>
          <w:lang w:val="en-US" w:eastAsia="it-IT"/>
        </w:rPr>
        <w:t>To simulate transit in fluids with different pH values characteristic of the gastrointestinal tract</w:t>
      </w:r>
      <w:r w:rsidRPr="00BB66A8">
        <w:rPr>
          <w:rFonts w:ascii="Times New Roman" w:hAnsi="Times New Roman" w:cs="Times New Roman"/>
          <w:lang w:val="en-US" w:eastAsia="it-IT"/>
        </w:rPr>
        <w:t>, the dissolution test was conducted</w:t>
      </w:r>
      <w:r w:rsidR="004869E4">
        <w:rPr>
          <w:rFonts w:ascii="Times New Roman" w:hAnsi="Times New Roman" w:cs="Times New Roman"/>
          <w:lang w:val="en-US" w:eastAsia="it-IT"/>
        </w:rPr>
        <w:t xml:space="preserve"> in three simulation media</w:t>
      </w:r>
      <w:r w:rsidRPr="00BB66A8">
        <w:rPr>
          <w:rFonts w:ascii="Times New Roman" w:hAnsi="Times New Roman" w:cs="Times New Roman"/>
          <w:lang w:val="en-US" w:eastAsia="it-IT"/>
        </w:rPr>
        <w:t xml:space="preserve"> </w:t>
      </w:r>
      <w:r w:rsidR="00432BE0" w:rsidRPr="00BB66A8">
        <w:rPr>
          <w:rFonts w:ascii="Times New Roman" w:hAnsi="Times New Roman" w:cs="Times New Roman"/>
          <w:color w:val="000000"/>
        </w:rPr>
        <w:t>(Mirdamadian et al., 2022; Thakral et al., 2011)</w:t>
      </w:r>
      <w:r w:rsidRPr="00BB66A8">
        <w:rPr>
          <w:rFonts w:ascii="Times New Roman" w:hAnsi="Times New Roman" w:cs="Times New Roman"/>
          <w:color w:val="auto"/>
          <w:lang w:val="en-US" w:eastAsia="it-IT"/>
        </w:rPr>
        <w:t>.</w:t>
      </w:r>
      <w:r w:rsidRPr="00BB66A8">
        <w:rPr>
          <w:rFonts w:ascii="Times New Roman" w:hAnsi="Times New Roman" w:cs="Times New Roman"/>
          <w:lang w:val="en-US" w:eastAsia="it-IT"/>
        </w:rPr>
        <w:t xml:space="preserve"> </w:t>
      </w:r>
      <w:r w:rsidRPr="00BB66A8">
        <w:rPr>
          <w:rFonts w:ascii="Times New Roman" w:hAnsi="Times New Roman" w:cs="Times New Roman"/>
        </w:rPr>
        <w:t>The MT</w:t>
      </w:r>
      <w:r w:rsidR="0027622A" w:rsidRPr="00BB66A8">
        <w:rPr>
          <w:rFonts w:ascii="Times New Roman" w:hAnsi="Times New Roman" w:cs="Times New Roman"/>
        </w:rPr>
        <w:t>s</w:t>
      </w:r>
      <w:r w:rsidRPr="00BB66A8">
        <w:rPr>
          <w:rFonts w:ascii="Times New Roman" w:hAnsi="Times New Roman" w:cs="Times New Roman"/>
        </w:rPr>
        <w:t xml:space="preserve"> were placed in 50 mL of 0.1 N HCl pH 1.2 as a simulation of a gastric</w:t>
      </w:r>
      <w:r w:rsidR="004869E4">
        <w:rPr>
          <w:rFonts w:ascii="Times New Roman" w:hAnsi="Times New Roman" w:cs="Times New Roman"/>
        </w:rPr>
        <w:t xml:space="preserve"> pH</w:t>
      </w:r>
      <w:r w:rsidRPr="00BB66A8">
        <w:rPr>
          <w:rFonts w:ascii="Times New Roman" w:hAnsi="Times New Roman" w:cs="Times New Roman"/>
        </w:rPr>
        <w:t xml:space="preserve"> condition for two hours, followed by two hours in 50 mL of phosphate-buffered saline pH 6.8 (F.U.I. XII</w:t>
      </w:r>
      <w:r w:rsidR="006C2A56">
        <w:rPr>
          <w:rFonts w:ascii="Times New Roman" w:hAnsi="Times New Roman" w:cs="Times New Roman"/>
        </w:rPr>
        <w:t xml:space="preserve"> Ed.</w:t>
      </w:r>
      <w:r w:rsidR="00D62390">
        <w:rPr>
          <w:rFonts w:ascii="Times New Roman" w:hAnsi="Times New Roman" w:cs="Times New Roman"/>
        </w:rPr>
        <w:t>d</w:t>
      </w:r>
      <w:r w:rsidR="00432BE0" w:rsidRPr="00BB66A8">
        <w:rPr>
          <w:rFonts w:ascii="Times New Roman" w:hAnsi="Times New Roman" w:cs="Times New Roman"/>
          <w:color w:val="000000"/>
        </w:rPr>
        <w:t>)</w:t>
      </w:r>
      <w:r w:rsidRPr="00BB66A8">
        <w:rPr>
          <w:rFonts w:ascii="Times New Roman" w:hAnsi="Times New Roman" w:cs="Times New Roman"/>
        </w:rPr>
        <w:t xml:space="preserve"> </w:t>
      </w:r>
      <w:r w:rsidR="0044017C">
        <w:rPr>
          <w:rFonts w:ascii="Times New Roman" w:hAnsi="Times New Roman" w:cs="Times New Roman"/>
        </w:rPr>
        <w:t>a</w:t>
      </w:r>
      <w:r w:rsidR="0044017C" w:rsidRPr="0044017C">
        <w:rPr>
          <w:rFonts w:ascii="Times New Roman" w:hAnsi="Times New Roman" w:cs="Times New Roman"/>
        </w:rPr>
        <w:t>s the pH value of the intestinal fluid</w:t>
      </w:r>
      <w:r w:rsidRPr="00BB66A8">
        <w:rPr>
          <w:rFonts w:ascii="Times New Roman" w:hAnsi="Times New Roman" w:cs="Times New Roman"/>
        </w:rPr>
        <w:t>. Finally, MTs were placed until completely dissolved in 50 mL of phosphate buffer pH 7.4</w:t>
      </w:r>
      <w:r w:rsidR="005F30F5" w:rsidRPr="00BB66A8">
        <w:rPr>
          <w:rFonts w:ascii="Times New Roman" w:hAnsi="Times New Roman" w:cs="Times New Roman"/>
          <w:color w:val="000000"/>
        </w:rPr>
        <w:t xml:space="preserve"> </w:t>
      </w:r>
      <w:r w:rsidR="00432BE0" w:rsidRPr="00BB66A8">
        <w:rPr>
          <w:rFonts w:ascii="Times New Roman" w:hAnsi="Times New Roman" w:cs="Times New Roman"/>
          <w:color w:val="000000"/>
        </w:rPr>
        <w:t>(</w:t>
      </w:r>
      <w:r w:rsidR="006C2A56">
        <w:rPr>
          <w:rFonts w:ascii="Times New Roman" w:hAnsi="Times New Roman" w:cs="Times New Roman"/>
          <w:noProof/>
          <w:color w:val="000000"/>
        </w:rPr>
        <w:t>F.U.I. XII Ed</w:t>
      </w:r>
      <w:r w:rsidR="00432BE0" w:rsidRPr="00BB66A8">
        <w:rPr>
          <w:rFonts w:ascii="Times New Roman" w:hAnsi="Times New Roman" w:cs="Times New Roman"/>
          <w:color w:val="000000"/>
        </w:rPr>
        <w:t>.</w:t>
      </w:r>
      <w:r w:rsidR="00D62390">
        <w:rPr>
          <w:rFonts w:ascii="Times New Roman" w:hAnsi="Times New Roman" w:cs="Times New Roman"/>
          <w:color w:val="000000"/>
        </w:rPr>
        <w:t>d</w:t>
      </w:r>
      <w:r w:rsidRPr="00BB66A8">
        <w:rPr>
          <w:rFonts w:ascii="Times New Roman" w:hAnsi="Times New Roman" w:cs="Times New Roman"/>
        </w:rPr>
        <w:t xml:space="preserve">), </w:t>
      </w:r>
      <w:r w:rsidR="0044017C">
        <w:rPr>
          <w:rFonts w:ascii="Times New Roman" w:hAnsi="Times New Roman" w:cs="Times New Roman"/>
        </w:rPr>
        <w:t>u</w:t>
      </w:r>
      <w:r w:rsidR="0044017C" w:rsidRPr="0044017C">
        <w:rPr>
          <w:rFonts w:ascii="Times New Roman" w:hAnsi="Times New Roman" w:cs="Times New Roman"/>
        </w:rPr>
        <w:t>sed as a colonic-simulating pH fluid</w:t>
      </w:r>
      <w:r w:rsidRPr="00BB66A8">
        <w:rPr>
          <w:rFonts w:ascii="Times New Roman" w:hAnsi="Times New Roman" w:cs="Times New Roman"/>
        </w:rPr>
        <w:t>. During the dissolution test, 1 mL samples were taken every 30 min and then filtered through 0.22 µm cellulose acetate filters and analysed by HPLC to determine the BD concentration.</w:t>
      </w:r>
    </w:p>
    <w:p w14:paraId="4F1FBC1C" w14:textId="19572212" w:rsidR="00A2620A" w:rsidRPr="00BB66A8" w:rsidRDefault="00A2620A" w:rsidP="006C0E78">
      <w:pPr>
        <w:pStyle w:val="Titolo3"/>
        <w:ind w:left="567"/>
        <w:rPr>
          <w:rFonts w:ascii="Times New Roman" w:hAnsi="Times New Roman" w:cs="Times New Roman"/>
        </w:rPr>
      </w:pPr>
      <w:r w:rsidRPr="00BB66A8">
        <w:rPr>
          <w:rFonts w:ascii="Times New Roman" w:hAnsi="Times New Roman" w:cs="Times New Roman"/>
        </w:rPr>
        <w:t>Preparation of Polymer Coating Dispersions</w:t>
      </w:r>
    </w:p>
    <w:p w14:paraId="0F80662D" w14:textId="31FD5BCA" w:rsidR="00A2620A" w:rsidRDefault="00A2620A" w:rsidP="00DA6BEC">
      <w:pPr>
        <w:rPr>
          <w:rFonts w:ascii="Times New Roman" w:hAnsi="Times New Roman" w:cs="Times New Roman"/>
          <w:lang w:val="en-US" w:eastAsia="it-IT"/>
        </w:rPr>
      </w:pPr>
      <w:r w:rsidRPr="00BB66A8">
        <w:rPr>
          <w:rFonts w:ascii="Times New Roman" w:hAnsi="Times New Roman" w:cs="Times New Roman"/>
          <w:lang w:val="en-US" w:eastAsia="it-IT"/>
        </w:rPr>
        <w:t>Polymethacrylate-based copolymer, Eudragit</w:t>
      </w:r>
      <w:r w:rsidR="000E5A81" w:rsidRPr="00BB66A8">
        <w:rPr>
          <w:rFonts w:ascii="Times New Roman" w:hAnsi="Times New Roman" w:cs="Times New Roman"/>
          <w:lang w:val="en-US" w:eastAsia="it-IT"/>
        </w:rPr>
        <w:t>®</w:t>
      </w:r>
      <w:r w:rsidRPr="00BB66A8">
        <w:rPr>
          <w:rFonts w:ascii="Times New Roman" w:hAnsi="Times New Roman" w:cs="Times New Roman"/>
          <w:lang w:val="en-US" w:eastAsia="it-IT"/>
        </w:rPr>
        <w:t xml:space="preserve"> FS 30 D, was used </w:t>
      </w:r>
      <w:r w:rsidR="003E44E3">
        <w:rPr>
          <w:rFonts w:ascii="Times New Roman" w:hAnsi="Times New Roman" w:cs="Times New Roman"/>
          <w:lang w:val="en-US" w:eastAsia="it-IT"/>
        </w:rPr>
        <w:t>for</w:t>
      </w:r>
      <w:r w:rsidRPr="00BB66A8">
        <w:rPr>
          <w:rFonts w:ascii="Times New Roman" w:hAnsi="Times New Roman" w:cs="Times New Roman"/>
          <w:lang w:val="en-US" w:eastAsia="it-IT"/>
        </w:rPr>
        <w:t xml:space="preserve"> the colon targeting coating as an aqueous dispersion. The </w:t>
      </w:r>
      <w:r w:rsidR="000E5A81">
        <w:rPr>
          <w:rFonts w:ascii="Times New Roman" w:hAnsi="Times New Roman" w:cs="Times New Roman"/>
          <w:lang w:val="en-US" w:eastAsia="it-IT"/>
        </w:rPr>
        <w:t>mixture</w:t>
      </w:r>
      <w:r w:rsidRPr="00BB66A8">
        <w:rPr>
          <w:rFonts w:ascii="Times New Roman" w:hAnsi="Times New Roman" w:cs="Times New Roman"/>
          <w:lang w:val="en-US" w:eastAsia="it-IT"/>
        </w:rPr>
        <w:t xml:space="preserve"> coating composition is described in Table 2.</w:t>
      </w:r>
    </w:p>
    <w:p w14:paraId="27CE3323" w14:textId="77777777" w:rsidR="00096D32" w:rsidRPr="00BB66A8" w:rsidRDefault="00096D32" w:rsidP="00DA6BEC">
      <w:pPr>
        <w:rPr>
          <w:rFonts w:ascii="Times New Roman" w:hAnsi="Times New Roman" w:cs="Times New Roman"/>
          <w:lang w:val="en-US" w:eastAsia="it-IT"/>
        </w:rPr>
      </w:pPr>
    </w:p>
    <w:p w14:paraId="4BDC8452" w14:textId="4F3033CA" w:rsidR="00A2620A" w:rsidRPr="00BB66A8" w:rsidRDefault="00096D32" w:rsidP="00A33BA1">
      <w:pPr>
        <w:rPr>
          <w:rFonts w:ascii="Times New Roman" w:hAnsi="Times New Roman" w:cs="Times New Roman"/>
          <w:lang w:val="en-US" w:eastAsia="it-IT"/>
        </w:rPr>
      </w:pPr>
      <w:r w:rsidRPr="00BB66A8">
        <w:rPr>
          <w:rFonts w:ascii="Times New Roman" w:hAnsi="Times New Roman" w:cs="Times New Roman"/>
          <w:b/>
          <w:bCs/>
          <w:lang w:val="en-US" w:eastAsia="it-IT"/>
        </w:rPr>
        <w:t>Table 2.</w:t>
      </w:r>
      <w:r w:rsidRPr="00BB66A8">
        <w:rPr>
          <w:rFonts w:ascii="Times New Roman" w:hAnsi="Times New Roman" w:cs="Times New Roman"/>
          <w:lang w:val="en-US" w:eastAsia="it-IT"/>
        </w:rPr>
        <w:t xml:space="preserve"> Composition of the polymer mixture used as</w:t>
      </w:r>
      <w:r w:rsidR="000E5A81">
        <w:rPr>
          <w:rFonts w:ascii="Times New Roman" w:hAnsi="Times New Roman" w:cs="Times New Roman"/>
          <w:lang w:val="en-US" w:eastAsia="it-IT"/>
        </w:rPr>
        <w:t xml:space="preserve"> </w:t>
      </w:r>
      <w:r w:rsidRPr="00BB66A8">
        <w:rPr>
          <w:rFonts w:ascii="Times New Roman" w:hAnsi="Times New Roman" w:cs="Times New Roman"/>
          <w:lang w:val="en-US" w:eastAsia="it-IT"/>
        </w:rPr>
        <w:t>film coating.</w:t>
      </w:r>
    </w:p>
    <w:tbl>
      <w:tblPr>
        <w:tblStyle w:val="Grigliatabella"/>
        <w:tblW w:w="0" w:type="auto"/>
        <w:tblInd w:w="823" w:type="dxa"/>
        <w:tblLook w:val="04A0" w:firstRow="1" w:lastRow="0" w:firstColumn="1" w:lastColumn="0" w:noHBand="0" w:noVBand="1"/>
      </w:tblPr>
      <w:tblGrid>
        <w:gridCol w:w="1491"/>
        <w:gridCol w:w="2757"/>
        <w:gridCol w:w="966"/>
        <w:gridCol w:w="2800"/>
      </w:tblGrid>
      <w:tr w:rsidR="00A2620A" w:rsidRPr="00BB66A8" w14:paraId="72BEEDBA" w14:textId="77777777" w:rsidTr="00391342">
        <w:trPr>
          <w:trHeight w:val="687"/>
        </w:trPr>
        <w:tc>
          <w:tcPr>
            <w:tcW w:w="1491" w:type="dxa"/>
            <w:tcBorders>
              <w:left w:val="nil"/>
              <w:bottom w:val="single" w:sz="4" w:space="0" w:color="auto"/>
              <w:right w:val="nil"/>
            </w:tcBorders>
            <w:vAlign w:val="center"/>
          </w:tcPr>
          <w:p w14:paraId="65CD0B90" w14:textId="77777777" w:rsidR="00A2620A" w:rsidRPr="00BB66A8" w:rsidRDefault="00A2620A" w:rsidP="00E3724C">
            <w:pPr>
              <w:jc w:val="center"/>
              <w:rPr>
                <w:rFonts w:ascii="Times New Roman" w:hAnsi="Times New Roman" w:cs="Times New Roman"/>
                <w:b/>
                <w:bCs/>
                <w:lang w:val="en-US" w:eastAsia="it-IT"/>
              </w:rPr>
            </w:pPr>
            <w:r w:rsidRPr="00BB66A8">
              <w:rPr>
                <w:rFonts w:ascii="Times New Roman" w:hAnsi="Times New Roman" w:cs="Times New Roman"/>
                <w:b/>
                <w:bCs/>
                <w:lang w:val="en-US" w:eastAsia="it-IT"/>
              </w:rPr>
              <w:t>Function</w:t>
            </w:r>
          </w:p>
        </w:tc>
        <w:tc>
          <w:tcPr>
            <w:tcW w:w="2757" w:type="dxa"/>
            <w:tcBorders>
              <w:left w:val="nil"/>
              <w:bottom w:val="single" w:sz="4" w:space="0" w:color="auto"/>
              <w:right w:val="nil"/>
            </w:tcBorders>
            <w:vAlign w:val="center"/>
          </w:tcPr>
          <w:p w14:paraId="064181FC" w14:textId="77777777" w:rsidR="00A2620A" w:rsidRPr="00BB66A8" w:rsidRDefault="00A2620A" w:rsidP="00E3724C">
            <w:pPr>
              <w:jc w:val="center"/>
              <w:rPr>
                <w:rFonts w:ascii="Times New Roman" w:hAnsi="Times New Roman" w:cs="Times New Roman"/>
                <w:b/>
                <w:bCs/>
                <w:lang w:val="en-US" w:eastAsia="it-IT"/>
              </w:rPr>
            </w:pPr>
            <w:r w:rsidRPr="00BB66A8">
              <w:rPr>
                <w:rFonts w:ascii="Times New Roman" w:hAnsi="Times New Roman" w:cs="Times New Roman"/>
                <w:b/>
                <w:bCs/>
                <w:lang w:val="en-US" w:eastAsia="it-IT"/>
              </w:rPr>
              <w:t>Ingredient</w:t>
            </w:r>
          </w:p>
        </w:tc>
        <w:tc>
          <w:tcPr>
            <w:tcW w:w="966" w:type="dxa"/>
            <w:tcBorders>
              <w:left w:val="nil"/>
              <w:bottom w:val="single" w:sz="4" w:space="0" w:color="auto"/>
              <w:right w:val="nil"/>
            </w:tcBorders>
            <w:vAlign w:val="center"/>
          </w:tcPr>
          <w:p w14:paraId="1A245EE4" w14:textId="77777777" w:rsidR="00A2620A" w:rsidRPr="00BB66A8" w:rsidRDefault="00A2620A" w:rsidP="00E3724C">
            <w:pPr>
              <w:spacing w:before="100" w:beforeAutospacing="1"/>
              <w:jc w:val="center"/>
              <w:rPr>
                <w:rFonts w:ascii="Times New Roman" w:hAnsi="Times New Roman" w:cs="Times New Roman"/>
                <w:b/>
                <w:bCs/>
                <w:lang w:val="en-US" w:eastAsia="it-IT"/>
              </w:rPr>
            </w:pPr>
            <w:r w:rsidRPr="00BB66A8">
              <w:rPr>
                <w:rFonts w:ascii="Times New Roman" w:hAnsi="Times New Roman" w:cs="Times New Roman"/>
                <w:b/>
                <w:bCs/>
                <w:lang w:val="en-US" w:eastAsia="it-IT"/>
              </w:rPr>
              <w:t>%w/w</w:t>
            </w:r>
          </w:p>
        </w:tc>
        <w:tc>
          <w:tcPr>
            <w:tcW w:w="2800" w:type="dxa"/>
            <w:tcBorders>
              <w:left w:val="nil"/>
              <w:bottom w:val="single" w:sz="4" w:space="0" w:color="auto"/>
              <w:right w:val="nil"/>
            </w:tcBorders>
            <w:vAlign w:val="center"/>
          </w:tcPr>
          <w:p w14:paraId="0059091A" w14:textId="049E9C95" w:rsidR="00A2620A" w:rsidRPr="00BB66A8" w:rsidRDefault="00A2620A" w:rsidP="00E3724C">
            <w:pPr>
              <w:jc w:val="center"/>
              <w:rPr>
                <w:rFonts w:ascii="Times New Roman" w:hAnsi="Times New Roman" w:cs="Times New Roman"/>
                <w:b/>
                <w:bCs/>
                <w:lang w:val="en-US" w:eastAsia="it-IT"/>
              </w:rPr>
            </w:pPr>
            <w:r w:rsidRPr="00BB66A8">
              <w:rPr>
                <w:rFonts w:ascii="Times New Roman" w:hAnsi="Times New Roman" w:cs="Times New Roman"/>
                <w:b/>
                <w:bCs/>
                <w:lang w:val="en-US" w:eastAsia="it-IT"/>
              </w:rPr>
              <w:t xml:space="preserve">     Dry substance </w:t>
            </w:r>
            <w:r w:rsidR="00A05FEB">
              <w:rPr>
                <w:rFonts w:ascii="Times New Roman" w:hAnsi="Times New Roman" w:cs="Times New Roman"/>
                <w:b/>
                <w:bCs/>
                <w:lang w:val="en-US" w:eastAsia="it-IT"/>
              </w:rPr>
              <w:t>(g</w:t>
            </w:r>
            <w:r w:rsidRPr="00BB66A8">
              <w:rPr>
                <w:rFonts w:ascii="Times New Roman" w:hAnsi="Times New Roman" w:cs="Times New Roman"/>
                <w:b/>
                <w:bCs/>
                <w:lang w:val="en-US" w:eastAsia="it-IT"/>
              </w:rPr>
              <w:t>)</w:t>
            </w:r>
          </w:p>
        </w:tc>
      </w:tr>
      <w:tr w:rsidR="00A2620A" w:rsidRPr="00BB66A8" w14:paraId="2E4254E2" w14:textId="77777777" w:rsidTr="00391342">
        <w:trPr>
          <w:trHeight w:val="281"/>
        </w:trPr>
        <w:tc>
          <w:tcPr>
            <w:tcW w:w="1491" w:type="dxa"/>
            <w:tcBorders>
              <w:left w:val="nil"/>
              <w:bottom w:val="nil"/>
              <w:right w:val="nil"/>
            </w:tcBorders>
          </w:tcPr>
          <w:p w14:paraId="21B2FD1F" w14:textId="77777777" w:rsidR="00A2620A" w:rsidRPr="00BB66A8" w:rsidRDefault="00A2620A" w:rsidP="00391342">
            <w:pPr>
              <w:spacing w:before="120"/>
              <w:jc w:val="center"/>
              <w:rPr>
                <w:rFonts w:ascii="Times New Roman" w:hAnsi="Times New Roman" w:cs="Times New Roman"/>
                <w:lang w:val="en-US" w:eastAsia="it-IT"/>
              </w:rPr>
            </w:pPr>
            <w:r w:rsidRPr="00BB66A8">
              <w:rPr>
                <w:rFonts w:ascii="Times New Roman" w:hAnsi="Times New Roman" w:cs="Times New Roman"/>
                <w:lang w:val="en-US" w:eastAsia="it-IT"/>
              </w:rPr>
              <w:t>Polymer</w:t>
            </w:r>
          </w:p>
        </w:tc>
        <w:tc>
          <w:tcPr>
            <w:tcW w:w="2757" w:type="dxa"/>
            <w:tcBorders>
              <w:left w:val="nil"/>
              <w:bottom w:val="nil"/>
              <w:right w:val="nil"/>
            </w:tcBorders>
          </w:tcPr>
          <w:p w14:paraId="6AA55C8F" w14:textId="0FA350D5" w:rsidR="00A2620A" w:rsidRPr="00BB66A8" w:rsidRDefault="00A2620A" w:rsidP="00391342">
            <w:pPr>
              <w:spacing w:before="120"/>
              <w:jc w:val="center"/>
              <w:rPr>
                <w:rFonts w:ascii="Times New Roman" w:hAnsi="Times New Roman" w:cs="Times New Roman"/>
                <w:lang w:val="en-US" w:eastAsia="it-IT"/>
              </w:rPr>
            </w:pPr>
            <w:r w:rsidRPr="00BB66A8">
              <w:rPr>
                <w:rFonts w:ascii="Times New Roman" w:hAnsi="Times New Roman" w:cs="Times New Roman"/>
                <w:lang w:val="en-US" w:eastAsia="it-IT"/>
              </w:rPr>
              <w:t>Eudragit</w:t>
            </w:r>
            <w:r w:rsidR="000E5A81" w:rsidRPr="00BB66A8">
              <w:rPr>
                <w:rFonts w:ascii="Times New Roman" w:hAnsi="Times New Roman" w:cs="Times New Roman"/>
                <w:lang w:val="en-US" w:eastAsia="it-IT"/>
              </w:rPr>
              <w:t>®</w:t>
            </w:r>
            <w:r w:rsidRPr="00BB66A8">
              <w:rPr>
                <w:rFonts w:ascii="Times New Roman" w:hAnsi="Times New Roman" w:cs="Times New Roman"/>
                <w:lang w:val="en-US" w:eastAsia="it-IT"/>
              </w:rPr>
              <w:t xml:space="preserve"> FS 30 D</w:t>
            </w:r>
          </w:p>
        </w:tc>
        <w:tc>
          <w:tcPr>
            <w:tcW w:w="966" w:type="dxa"/>
            <w:tcBorders>
              <w:left w:val="nil"/>
              <w:bottom w:val="nil"/>
              <w:right w:val="nil"/>
            </w:tcBorders>
          </w:tcPr>
          <w:p w14:paraId="64DCD308" w14:textId="77777777" w:rsidR="00A2620A" w:rsidRPr="00BB66A8" w:rsidRDefault="00A2620A" w:rsidP="00391342">
            <w:pPr>
              <w:spacing w:before="120"/>
              <w:jc w:val="center"/>
              <w:rPr>
                <w:rFonts w:ascii="Times New Roman" w:hAnsi="Times New Roman" w:cs="Times New Roman"/>
                <w:lang w:val="en-US" w:eastAsia="it-IT"/>
              </w:rPr>
            </w:pPr>
            <w:r w:rsidRPr="00BB66A8">
              <w:rPr>
                <w:rFonts w:ascii="Times New Roman" w:hAnsi="Times New Roman" w:cs="Times New Roman"/>
                <w:lang w:val="en-US" w:eastAsia="it-IT"/>
              </w:rPr>
              <w:t>43.01</w:t>
            </w:r>
          </w:p>
        </w:tc>
        <w:tc>
          <w:tcPr>
            <w:tcW w:w="2800" w:type="dxa"/>
            <w:tcBorders>
              <w:left w:val="nil"/>
              <w:bottom w:val="nil"/>
              <w:right w:val="nil"/>
            </w:tcBorders>
          </w:tcPr>
          <w:p w14:paraId="0698C821" w14:textId="77777777" w:rsidR="00A2620A" w:rsidRPr="00BB66A8" w:rsidRDefault="00A2620A" w:rsidP="00391342">
            <w:pPr>
              <w:spacing w:before="120"/>
              <w:jc w:val="center"/>
              <w:rPr>
                <w:rFonts w:ascii="Times New Roman" w:hAnsi="Times New Roman" w:cs="Times New Roman"/>
                <w:lang w:val="en-US" w:eastAsia="it-IT"/>
              </w:rPr>
            </w:pPr>
            <w:r w:rsidRPr="00BB66A8">
              <w:rPr>
                <w:rFonts w:ascii="Times New Roman" w:hAnsi="Times New Roman" w:cs="Times New Roman"/>
                <w:lang w:val="en-US" w:eastAsia="it-IT"/>
              </w:rPr>
              <w:t>12.9</w:t>
            </w:r>
          </w:p>
        </w:tc>
      </w:tr>
      <w:tr w:rsidR="00A2620A" w:rsidRPr="00BB66A8" w14:paraId="3F0EEFE9" w14:textId="77777777" w:rsidTr="00391342">
        <w:trPr>
          <w:trHeight w:val="294"/>
        </w:trPr>
        <w:tc>
          <w:tcPr>
            <w:tcW w:w="1491" w:type="dxa"/>
            <w:tcBorders>
              <w:top w:val="nil"/>
              <w:left w:val="nil"/>
              <w:bottom w:val="nil"/>
              <w:right w:val="nil"/>
            </w:tcBorders>
          </w:tcPr>
          <w:p w14:paraId="41BF3319"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Plasticizer</w:t>
            </w:r>
          </w:p>
        </w:tc>
        <w:tc>
          <w:tcPr>
            <w:tcW w:w="2757" w:type="dxa"/>
            <w:tcBorders>
              <w:top w:val="nil"/>
              <w:left w:val="nil"/>
              <w:bottom w:val="nil"/>
              <w:right w:val="nil"/>
            </w:tcBorders>
          </w:tcPr>
          <w:p w14:paraId="5F182D7B"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Triethyl citrate</w:t>
            </w:r>
          </w:p>
        </w:tc>
        <w:tc>
          <w:tcPr>
            <w:tcW w:w="966" w:type="dxa"/>
            <w:tcBorders>
              <w:top w:val="nil"/>
              <w:left w:val="nil"/>
              <w:bottom w:val="nil"/>
              <w:right w:val="nil"/>
            </w:tcBorders>
          </w:tcPr>
          <w:p w14:paraId="3D95BB00"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0.65</w:t>
            </w:r>
          </w:p>
        </w:tc>
        <w:tc>
          <w:tcPr>
            <w:tcW w:w="2800" w:type="dxa"/>
            <w:tcBorders>
              <w:top w:val="nil"/>
              <w:left w:val="nil"/>
              <w:bottom w:val="nil"/>
              <w:right w:val="nil"/>
            </w:tcBorders>
          </w:tcPr>
          <w:p w14:paraId="3433B762"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0.65</w:t>
            </w:r>
          </w:p>
        </w:tc>
      </w:tr>
      <w:tr w:rsidR="00A2620A" w:rsidRPr="00BB66A8" w14:paraId="7DE630FE" w14:textId="77777777" w:rsidTr="00391342">
        <w:trPr>
          <w:trHeight w:val="281"/>
        </w:trPr>
        <w:tc>
          <w:tcPr>
            <w:tcW w:w="1491" w:type="dxa"/>
            <w:tcBorders>
              <w:top w:val="nil"/>
              <w:left w:val="nil"/>
              <w:bottom w:val="nil"/>
              <w:right w:val="nil"/>
            </w:tcBorders>
          </w:tcPr>
          <w:p w14:paraId="3B169829"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Anti-tacking</w:t>
            </w:r>
          </w:p>
        </w:tc>
        <w:tc>
          <w:tcPr>
            <w:tcW w:w="2757" w:type="dxa"/>
            <w:tcBorders>
              <w:top w:val="nil"/>
              <w:left w:val="nil"/>
              <w:bottom w:val="nil"/>
              <w:right w:val="nil"/>
            </w:tcBorders>
          </w:tcPr>
          <w:p w14:paraId="6CD8208D"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Talc</w:t>
            </w:r>
          </w:p>
        </w:tc>
        <w:tc>
          <w:tcPr>
            <w:tcW w:w="966" w:type="dxa"/>
            <w:tcBorders>
              <w:top w:val="nil"/>
              <w:left w:val="nil"/>
              <w:bottom w:val="nil"/>
              <w:right w:val="nil"/>
            </w:tcBorders>
          </w:tcPr>
          <w:p w14:paraId="3A65C240"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6.45</w:t>
            </w:r>
          </w:p>
        </w:tc>
        <w:tc>
          <w:tcPr>
            <w:tcW w:w="2800" w:type="dxa"/>
            <w:tcBorders>
              <w:top w:val="nil"/>
              <w:left w:val="nil"/>
              <w:bottom w:val="nil"/>
              <w:right w:val="nil"/>
            </w:tcBorders>
          </w:tcPr>
          <w:p w14:paraId="6CD9E2FF"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6.45</w:t>
            </w:r>
          </w:p>
        </w:tc>
      </w:tr>
      <w:tr w:rsidR="00A2620A" w:rsidRPr="00BB66A8" w14:paraId="7A50140B" w14:textId="77777777" w:rsidTr="00391342">
        <w:trPr>
          <w:trHeight w:val="294"/>
        </w:trPr>
        <w:tc>
          <w:tcPr>
            <w:tcW w:w="1491" w:type="dxa"/>
            <w:tcBorders>
              <w:top w:val="nil"/>
              <w:left w:val="nil"/>
              <w:bottom w:val="nil"/>
              <w:right w:val="nil"/>
            </w:tcBorders>
          </w:tcPr>
          <w:p w14:paraId="02F270E5"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Diluent</w:t>
            </w:r>
          </w:p>
        </w:tc>
        <w:tc>
          <w:tcPr>
            <w:tcW w:w="2757" w:type="dxa"/>
            <w:tcBorders>
              <w:top w:val="nil"/>
              <w:left w:val="nil"/>
              <w:bottom w:val="nil"/>
              <w:right w:val="nil"/>
            </w:tcBorders>
          </w:tcPr>
          <w:p w14:paraId="29E1B4F8"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Purified water</w:t>
            </w:r>
          </w:p>
        </w:tc>
        <w:tc>
          <w:tcPr>
            <w:tcW w:w="966" w:type="dxa"/>
            <w:tcBorders>
              <w:top w:val="nil"/>
              <w:left w:val="nil"/>
              <w:bottom w:val="nil"/>
              <w:right w:val="nil"/>
            </w:tcBorders>
          </w:tcPr>
          <w:p w14:paraId="52E85547"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49.89</w:t>
            </w:r>
          </w:p>
        </w:tc>
        <w:tc>
          <w:tcPr>
            <w:tcW w:w="2800" w:type="dxa"/>
            <w:tcBorders>
              <w:top w:val="nil"/>
              <w:left w:val="nil"/>
              <w:bottom w:val="nil"/>
              <w:right w:val="nil"/>
            </w:tcBorders>
          </w:tcPr>
          <w:p w14:paraId="361C64B4" w14:textId="77777777" w:rsidR="00A2620A" w:rsidRPr="00BB66A8" w:rsidRDefault="00A2620A" w:rsidP="00C553C6">
            <w:pPr>
              <w:jc w:val="center"/>
              <w:rPr>
                <w:rFonts w:ascii="Times New Roman" w:hAnsi="Times New Roman" w:cs="Times New Roman"/>
                <w:lang w:val="en-US" w:eastAsia="it-IT"/>
              </w:rPr>
            </w:pPr>
          </w:p>
        </w:tc>
      </w:tr>
      <w:tr w:rsidR="00A2620A" w:rsidRPr="00BB66A8" w14:paraId="2A15BCE0" w14:textId="77777777" w:rsidTr="00391342">
        <w:trPr>
          <w:trHeight w:val="281"/>
        </w:trPr>
        <w:tc>
          <w:tcPr>
            <w:tcW w:w="1491" w:type="dxa"/>
            <w:tcBorders>
              <w:top w:val="nil"/>
              <w:left w:val="nil"/>
              <w:right w:val="nil"/>
            </w:tcBorders>
          </w:tcPr>
          <w:p w14:paraId="6D1DF536" w14:textId="77777777" w:rsidR="00A2620A" w:rsidRPr="00BB66A8" w:rsidRDefault="00A2620A" w:rsidP="00C553C6">
            <w:pPr>
              <w:jc w:val="center"/>
              <w:rPr>
                <w:rFonts w:ascii="Times New Roman" w:hAnsi="Times New Roman" w:cs="Times New Roman"/>
                <w:b/>
                <w:bCs/>
                <w:lang w:val="en-US" w:eastAsia="it-IT"/>
              </w:rPr>
            </w:pPr>
            <w:r w:rsidRPr="00BB66A8">
              <w:rPr>
                <w:rFonts w:ascii="Times New Roman" w:hAnsi="Times New Roman" w:cs="Times New Roman"/>
                <w:b/>
                <w:bCs/>
                <w:lang w:val="en-US" w:eastAsia="it-IT"/>
              </w:rPr>
              <w:t>Total</w:t>
            </w:r>
          </w:p>
        </w:tc>
        <w:tc>
          <w:tcPr>
            <w:tcW w:w="2757" w:type="dxa"/>
            <w:tcBorders>
              <w:top w:val="nil"/>
              <w:left w:val="nil"/>
              <w:right w:val="nil"/>
            </w:tcBorders>
          </w:tcPr>
          <w:p w14:paraId="31550557" w14:textId="77777777" w:rsidR="00A2620A" w:rsidRPr="00BB66A8" w:rsidRDefault="00A2620A" w:rsidP="00C553C6">
            <w:pPr>
              <w:jc w:val="center"/>
              <w:rPr>
                <w:rFonts w:ascii="Times New Roman" w:hAnsi="Times New Roman" w:cs="Times New Roman"/>
                <w:lang w:val="en-US" w:eastAsia="it-IT"/>
              </w:rPr>
            </w:pPr>
          </w:p>
        </w:tc>
        <w:tc>
          <w:tcPr>
            <w:tcW w:w="966" w:type="dxa"/>
            <w:tcBorders>
              <w:top w:val="nil"/>
              <w:left w:val="nil"/>
              <w:right w:val="nil"/>
            </w:tcBorders>
          </w:tcPr>
          <w:p w14:paraId="25BAA3AA"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100.0</w:t>
            </w:r>
          </w:p>
        </w:tc>
        <w:tc>
          <w:tcPr>
            <w:tcW w:w="2800" w:type="dxa"/>
            <w:tcBorders>
              <w:top w:val="nil"/>
              <w:left w:val="nil"/>
              <w:right w:val="nil"/>
            </w:tcBorders>
          </w:tcPr>
          <w:p w14:paraId="0425680F" w14:textId="77777777" w:rsidR="00A2620A" w:rsidRPr="00BB66A8" w:rsidRDefault="00A2620A" w:rsidP="00C553C6">
            <w:pPr>
              <w:jc w:val="center"/>
              <w:rPr>
                <w:rFonts w:ascii="Times New Roman" w:hAnsi="Times New Roman" w:cs="Times New Roman"/>
                <w:lang w:val="en-US" w:eastAsia="it-IT"/>
              </w:rPr>
            </w:pPr>
            <w:r w:rsidRPr="00BB66A8">
              <w:rPr>
                <w:rFonts w:ascii="Times New Roman" w:hAnsi="Times New Roman" w:cs="Times New Roman"/>
                <w:lang w:val="en-US" w:eastAsia="it-IT"/>
              </w:rPr>
              <w:t>20.0</w:t>
            </w:r>
          </w:p>
        </w:tc>
      </w:tr>
    </w:tbl>
    <w:p w14:paraId="7AC14CFE" w14:textId="77777777" w:rsidR="002E36FD" w:rsidRDefault="002E36FD" w:rsidP="00A33BA1">
      <w:pPr>
        <w:rPr>
          <w:rFonts w:ascii="Times New Roman" w:hAnsi="Times New Roman" w:cs="Times New Roman"/>
          <w:b/>
          <w:bCs/>
          <w:lang w:val="en-US" w:eastAsia="it-IT"/>
        </w:rPr>
      </w:pPr>
    </w:p>
    <w:p w14:paraId="600994FC" w14:textId="77777777" w:rsidR="002E36FD" w:rsidRDefault="002E36FD" w:rsidP="00DA6BEC">
      <w:pPr>
        <w:rPr>
          <w:rFonts w:ascii="Times New Roman" w:hAnsi="Times New Roman" w:cs="Times New Roman"/>
          <w:lang w:val="en-US" w:eastAsia="it-IT"/>
        </w:rPr>
      </w:pPr>
    </w:p>
    <w:p w14:paraId="36DF0B1D" w14:textId="08B6A9CE" w:rsidR="00A2620A" w:rsidRPr="00BB66A8" w:rsidRDefault="00A2620A" w:rsidP="00DA6BEC">
      <w:pPr>
        <w:rPr>
          <w:rFonts w:ascii="Times New Roman" w:hAnsi="Times New Roman" w:cs="Times New Roman"/>
          <w:lang w:val="en-US" w:eastAsia="it-IT"/>
        </w:rPr>
      </w:pPr>
      <w:r w:rsidRPr="00BB66A8">
        <w:rPr>
          <w:rFonts w:ascii="Times New Roman" w:hAnsi="Times New Roman" w:cs="Times New Roman"/>
          <w:lang w:val="en-US" w:eastAsia="it-IT"/>
        </w:rPr>
        <w:t xml:space="preserve">The coating suspension was prepared by adding </w:t>
      </w:r>
      <w:r w:rsidR="000E5A81">
        <w:rPr>
          <w:rFonts w:ascii="Times New Roman" w:hAnsi="Times New Roman" w:cs="Times New Roman"/>
          <w:lang w:val="en-US" w:eastAsia="it-IT"/>
        </w:rPr>
        <w:t>t</w:t>
      </w:r>
      <w:r w:rsidRPr="00BB66A8">
        <w:rPr>
          <w:rFonts w:ascii="Times New Roman" w:hAnsi="Times New Roman" w:cs="Times New Roman"/>
          <w:lang w:val="en-US" w:eastAsia="it-IT"/>
        </w:rPr>
        <w:t xml:space="preserve">alc and </w:t>
      </w:r>
      <w:r w:rsidR="000E5A81">
        <w:rPr>
          <w:rFonts w:ascii="Times New Roman" w:hAnsi="Times New Roman" w:cs="Times New Roman"/>
          <w:lang w:val="en-US" w:eastAsia="it-IT"/>
        </w:rPr>
        <w:t>t</w:t>
      </w:r>
      <w:r w:rsidRPr="00BB66A8">
        <w:rPr>
          <w:rFonts w:ascii="Times New Roman" w:hAnsi="Times New Roman" w:cs="Times New Roman"/>
          <w:lang w:val="en-US" w:eastAsia="it-IT"/>
        </w:rPr>
        <w:t xml:space="preserve">riethyl citrate in </w:t>
      </w:r>
      <w:r w:rsidR="000E5A81">
        <w:rPr>
          <w:rFonts w:ascii="Times New Roman" w:hAnsi="Times New Roman" w:cs="Times New Roman"/>
          <w:lang w:val="en-US" w:eastAsia="it-IT"/>
        </w:rPr>
        <w:t>49.89</w:t>
      </w:r>
      <w:r w:rsidR="00194F3C">
        <w:rPr>
          <w:rFonts w:ascii="Times New Roman" w:hAnsi="Times New Roman" w:cs="Times New Roman"/>
          <w:lang w:val="en-US" w:eastAsia="it-IT"/>
        </w:rPr>
        <w:t xml:space="preserve"> g</w:t>
      </w:r>
      <w:r w:rsidR="000E5A81">
        <w:rPr>
          <w:rFonts w:ascii="Times New Roman" w:hAnsi="Times New Roman" w:cs="Times New Roman"/>
          <w:lang w:val="en-US" w:eastAsia="it-IT"/>
        </w:rPr>
        <w:t xml:space="preserve"> of </w:t>
      </w:r>
      <w:r w:rsidRPr="00BB66A8">
        <w:rPr>
          <w:rFonts w:ascii="Times New Roman" w:hAnsi="Times New Roman" w:cs="Times New Roman"/>
          <w:lang w:val="en-US" w:eastAsia="it-IT"/>
        </w:rPr>
        <w:t xml:space="preserve">water under continuous stirring for 10 minutes. Then, </w:t>
      </w:r>
      <w:r w:rsidR="00194F3C">
        <w:rPr>
          <w:rFonts w:ascii="Times New Roman" w:hAnsi="Times New Roman" w:cs="Times New Roman"/>
          <w:lang w:val="en-US" w:eastAsia="it-IT"/>
        </w:rPr>
        <w:t xml:space="preserve">43.01 g of dispersion of </w:t>
      </w:r>
      <w:r w:rsidRPr="00BB66A8">
        <w:rPr>
          <w:rFonts w:ascii="Times New Roman" w:hAnsi="Times New Roman" w:cs="Times New Roman"/>
          <w:lang w:val="en-US" w:eastAsia="it-IT"/>
        </w:rPr>
        <w:t>Eudragit</w:t>
      </w:r>
      <w:r w:rsidR="000E5A81" w:rsidRPr="00BB66A8">
        <w:rPr>
          <w:rFonts w:ascii="Times New Roman" w:hAnsi="Times New Roman" w:cs="Times New Roman"/>
          <w:lang w:val="en-US" w:eastAsia="it-IT"/>
        </w:rPr>
        <w:t>®</w:t>
      </w:r>
      <w:r w:rsidRPr="00BB66A8">
        <w:rPr>
          <w:rFonts w:ascii="Times New Roman" w:hAnsi="Times New Roman" w:cs="Times New Roman"/>
          <w:lang w:val="en-US" w:eastAsia="it-IT"/>
        </w:rPr>
        <w:t xml:space="preserve"> FS 30 D was added gently to the previous suspension prepared while stirring. The spray suspension was filtered through a 0.5 mm sieve and was maintained in stirring conditions</w:t>
      </w:r>
      <w:r w:rsidR="00194F3C">
        <w:rPr>
          <w:rFonts w:ascii="Times New Roman" w:hAnsi="Times New Roman" w:cs="Times New Roman"/>
          <w:lang w:val="en-US" w:eastAsia="it-IT"/>
        </w:rPr>
        <w:t xml:space="preserve"> </w:t>
      </w:r>
      <w:r w:rsidR="00194F3C" w:rsidRPr="005D402F">
        <w:rPr>
          <w:rFonts w:ascii="Times New Roman" w:hAnsi="Times New Roman" w:cs="Times New Roman"/>
          <w:lang w:val="en-US" w:eastAsia="it-IT"/>
        </w:rPr>
        <w:t>during the process</w:t>
      </w:r>
      <w:r w:rsidRPr="00BB66A8">
        <w:rPr>
          <w:rFonts w:ascii="Times New Roman" w:hAnsi="Times New Roman" w:cs="Times New Roman"/>
          <w:lang w:val="en-US" w:eastAsia="it-IT"/>
        </w:rPr>
        <w:t>.</w:t>
      </w:r>
    </w:p>
    <w:p w14:paraId="25BA2F81" w14:textId="77777777" w:rsidR="00A2620A" w:rsidRPr="00BB66A8" w:rsidRDefault="00A2620A" w:rsidP="006C0E78">
      <w:pPr>
        <w:pStyle w:val="Titolo3"/>
        <w:ind w:left="426" w:hanging="283"/>
        <w:rPr>
          <w:rFonts w:ascii="Times New Roman" w:hAnsi="Times New Roman" w:cs="Times New Roman"/>
        </w:rPr>
      </w:pPr>
      <w:r w:rsidRPr="00BB66A8">
        <w:rPr>
          <w:rFonts w:ascii="Times New Roman" w:hAnsi="Times New Roman" w:cs="Times New Roman"/>
        </w:rPr>
        <w:t>Coating procedure</w:t>
      </w:r>
    </w:p>
    <w:p w14:paraId="72BD24C7" w14:textId="46DC43BE" w:rsidR="00A2620A" w:rsidRPr="00BB66A8" w:rsidRDefault="00A2620A" w:rsidP="00DA6BEC">
      <w:pPr>
        <w:rPr>
          <w:rFonts w:ascii="Times New Roman" w:hAnsi="Times New Roman" w:cs="Times New Roman"/>
        </w:rPr>
      </w:pPr>
      <w:r w:rsidRPr="00BB66A8">
        <w:rPr>
          <w:rFonts w:ascii="Times New Roman" w:hAnsi="Times New Roman" w:cs="Times New Roman"/>
        </w:rPr>
        <w:t xml:space="preserve">Among the three printed formulations, Mini-Tablet2 (MT2), obtained by direct extrusion of MixBD-CD mixtures, </w:t>
      </w:r>
      <w:r w:rsidR="00485E6F">
        <w:rPr>
          <w:rFonts w:ascii="Times New Roman" w:hAnsi="Times New Roman" w:cs="Times New Roman"/>
        </w:rPr>
        <w:t>was</w:t>
      </w:r>
      <w:r w:rsidRPr="00BB66A8">
        <w:rPr>
          <w:rFonts w:ascii="Times New Roman" w:hAnsi="Times New Roman" w:cs="Times New Roman"/>
        </w:rPr>
        <w:t xml:space="preserve"> evaluated </w:t>
      </w:r>
      <w:r w:rsidR="00397DA9" w:rsidRPr="00BB66A8">
        <w:rPr>
          <w:rFonts w:ascii="Times New Roman" w:hAnsi="Times New Roman" w:cs="Times New Roman"/>
        </w:rPr>
        <w:t xml:space="preserve">as </w:t>
      </w:r>
      <w:r w:rsidRPr="00BB66A8">
        <w:rPr>
          <w:rFonts w:ascii="Times New Roman" w:hAnsi="Times New Roman" w:cs="Times New Roman"/>
        </w:rPr>
        <w:t xml:space="preserve">suitable to undergo the coating process. Therefore, </w:t>
      </w:r>
      <w:r w:rsidR="00AD3320" w:rsidRPr="00AD3320">
        <w:rPr>
          <w:rFonts w:ascii="Times New Roman" w:hAnsi="Times New Roman" w:cs="Times New Roman"/>
        </w:rPr>
        <w:t>MT2 was selected to evaluate the effectiveness and efficiency of both the coating process and the identified polymer blend</w:t>
      </w:r>
      <w:r w:rsidR="00AD3320">
        <w:rPr>
          <w:rFonts w:ascii="Times New Roman" w:hAnsi="Times New Roman" w:cs="Times New Roman"/>
        </w:rPr>
        <w:t xml:space="preserve"> </w:t>
      </w:r>
      <w:r w:rsidR="00166560">
        <w:rPr>
          <w:rFonts w:ascii="Times New Roman" w:hAnsi="Times New Roman" w:cs="Times New Roman"/>
        </w:rPr>
        <w:t>(Table 2)</w:t>
      </w:r>
      <w:r w:rsidRPr="00BB66A8">
        <w:rPr>
          <w:rFonts w:ascii="Times New Roman" w:hAnsi="Times New Roman" w:cs="Times New Roman"/>
        </w:rPr>
        <w:t>. The coating trial was performed using 600 g starting cores in a Glatt GPCG-2 6″ Wurster fluidised laboratory coater (Glatt GmbH, Germany). The process parameters set were inlet air temperature 35-45</w:t>
      </w:r>
      <w:r w:rsidR="00BE7B0E">
        <w:rPr>
          <w:rFonts w:ascii="Times New Roman" w:hAnsi="Times New Roman" w:cs="Times New Roman"/>
        </w:rPr>
        <w:t xml:space="preserve"> </w:t>
      </w:r>
      <w:r w:rsidRPr="00BB66A8">
        <w:rPr>
          <w:rFonts w:ascii="Times New Roman" w:hAnsi="Times New Roman" w:cs="Times New Roman"/>
        </w:rPr>
        <w:t>°C</w:t>
      </w:r>
      <w:r w:rsidR="00194F3C">
        <w:rPr>
          <w:rFonts w:ascii="Times New Roman" w:hAnsi="Times New Roman" w:cs="Times New Roman"/>
        </w:rPr>
        <w:t xml:space="preserve">, </w:t>
      </w:r>
      <w:r w:rsidRPr="00BB66A8">
        <w:rPr>
          <w:rFonts w:ascii="Times New Roman" w:hAnsi="Times New Roman" w:cs="Times New Roman"/>
        </w:rPr>
        <w:t>product temperature 25-28</w:t>
      </w:r>
      <w:r w:rsidR="00BE7B0E">
        <w:rPr>
          <w:rFonts w:ascii="Times New Roman" w:hAnsi="Times New Roman" w:cs="Times New Roman"/>
        </w:rPr>
        <w:t xml:space="preserve"> </w:t>
      </w:r>
      <w:r w:rsidRPr="00BB66A8">
        <w:rPr>
          <w:rFonts w:ascii="Times New Roman" w:hAnsi="Times New Roman" w:cs="Times New Roman"/>
        </w:rPr>
        <w:t>°C, air flow rate 170 m</w:t>
      </w:r>
      <w:r w:rsidRPr="00BB66A8">
        <w:rPr>
          <w:rFonts w:ascii="Times New Roman" w:hAnsi="Times New Roman" w:cs="Times New Roman"/>
          <w:vertAlign w:val="superscript"/>
        </w:rPr>
        <w:t>3</w:t>
      </w:r>
      <w:r w:rsidRPr="00BB66A8">
        <w:rPr>
          <w:rFonts w:ascii="Times New Roman" w:hAnsi="Times New Roman" w:cs="Times New Roman"/>
        </w:rPr>
        <w:t>/h, atomising pressure 2.0 bar and spraying speed 5-7 g/min. The coating process was stopped when weight increments of 4% and 6% were reached. Thus, two different batches of coated MT2 (C-MT2) were obtained, denominated C-MT2 4% and C-MT2 6% according to the obtained weight gain.</w:t>
      </w:r>
    </w:p>
    <w:p w14:paraId="5D38D9FB" w14:textId="77777777" w:rsidR="00A2620A" w:rsidRPr="00BB66A8" w:rsidRDefault="00A2620A" w:rsidP="006C0E78">
      <w:pPr>
        <w:pStyle w:val="Titolo3"/>
        <w:ind w:left="284" w:hanging="142"/>
        <w:rPr>
          <w:rFonts w:ascii="Times New Roman" w:hAnsi="Times New Roman" w:cs="Times New Roman"/>
        </w:rPr>
      </w:pPr>
      <w:r w:rsidRPr="00BB66A8">
        <w:rPr>
          <w:rFonts w:ascii="Times New Roman" w:hAnsi="Times New Roman" w:cs="Times New Roman"/>
        </w:rPr>
        <w:lastRenderedPageBreak/>
        <w:t>Characterization of coated MT2</w:t>
      </w:r>
    </w:p>
    <w:p w14:paraId="690F5D67" w14:textId="19BE7831" w:rsidR="00A2620A" w:rsidRPr="00BB66A8" w:rsidRDefault="00A2620A" w:rsidP="001030ED">
      <w:pPr>
        <w:rPr>
          <w:rFonts w:ascii="Times New Roman" w:hAnsi="Times New Roman" w:cs="Times New Roman"/>
          <w:lang w:val="en-US" w:eastAsia="it-IT"/>
        </w:rPr>
      </w:pPr>
      <w:r w:rsidRPr="00BB66A8">
        <w:rPr>
          <w:rFonts w:ascii="Times New Roman" w:hAnsi="Times New Roman" w:cs="Times New Roman"/>
          <w:lang w:val="en-US" w:eastAsia="it-IT"/>
        </w:rPr>
        <w:t>The homogeneous surface distribution of the coating film carried out on C-MT2 (4% and 6%) was assessed using a Chemical Microanalysis investigation. The analysis was conducted with an optical stereomicroscope (SEM Hitachi TM 3000), equipped with a low-vacuum observation chamber, and the acquired images were elaborated using the Oxford Instruments SwiftED3000 for Hitachi TM3000 program. Briefly, the investigation was performed using a high-energy electron beam, denoted as Backscattered Electrons (BSE), capable of emitting radiation measured through an Energy Dispersive Detector (EDS). EDS microanalysis was combined with colourSEM technology through SEM-EDS. Thus, from the detected BSE image it was possible to observe the variation of the average atomic number on the sample surface and to obtain compositional and chemical information about the sample. In detail, microanalysis was used to assess the presence of the elements Si and Mg, which are characteristic of talc and thus only present in the coating suspension.</w:t>
      </w:r>
      <w:r w:rsidRPr="00BB66A8">
        <w:rPr>
          <w:rFonts w:ascii="Times New Roman" w:hAnsi="Times New Roman" w:cs="Times New Roman"/>
        </w:rPr>
        <w:t xml:space="preserve"> </w:t>
      </w:r>
      <w:r w:rsidR="005F30F5" w:rsidRPr="00BB66A8">
        <w:rPr>
          <w:rFonts w:ascii="Times New Roman" w:hAnsi="Times New Roman" w:cs="Times New Roman"/>
          <w:lang w:val="en-US" w:eastAsia="it-IT"/>
        </w:rPr>
        <w:t xml:space="preserve">Morphological analysis of C-MT2 4% and 6% </w:t>
      </w:r>
      <w:r w:rsidR="000E7771">
        <w:rPr>
          <w:rFonts w:ascii="Times New Roman" w:hAnsi="Times New Roman" w:cs="Times New Roman"/>
          <w:lang w:val="en-US" w:eastAsia="it-IT"/>
        </w:rPr>
        <w:t>were</w:t>
      </w:r>
      <w:r w:rsidR="005F30F5" w:rsidRPr="00BB66A8">
        <w:rPr>
          <w:rFonts w:ascii="Times New Roman" w:hAnsi="Times New Roman" w:cs="Times New Roman"/>
          <w:lang w:val="en-US" w:eastAsia="it-IT"/>
        </w:rPr>
        <w:t xml:space="preserve"> also conducted by SEM HITACHI TM3000 with DEBEN "Tilt &amp; Rotate Sub-Stage," setting the accelerating voltage at 15 </w:t>
      </w:r>
      <w:r w:rsidR="00D01B1D" w:rsidRPr="00BB66A8">
        <w:rPr>
          <w:rFonts w:ascii="Times New Roman" w:hAnsi="Times New Roman" w:cs="Times New Roman"/>
          <w:lang w:val="en-US" w:eastAsia="it-IT"/>
        </w:rPr>
        <w:t>Kv</w:t>
      </w:r>
      <w:r w:rsidR="005F30F5" w:rsidRPr="00BB66A8">
        <w:rPr>
          <w:rFonts w:ascii="Times New Roman" w:hAnsi="Times New Roman" w:cs="Times New Roman"/>
          <w:lang w:val="en-US" w:eastAsia="it-IT"/>
        </w:rPr>
        <w:t>, the vacuum values at 5x10</w:t>
      </w:r>
      <w:r w:rsidR="005F30F5" w:rsidRPr="00BB66A8">
        <w:rPr>
          <w:rFonts w:ascii="Times New Roman" w:hAnsi="Times New Roman" w:cs="Times New Roman"/>
          <w:vertAlign w:val="superscript"/>
          <w:lang w:val="en-US" w:eastAsia="it-IT"/>
        </w:rPr>
        <w:t>-3</w:t>
      </w:r>
      <w:r w:rsidR="005F30F5" w:rsidRPr="00BB66A8">
        <w:rPr>
          <w:rFonts w:ascii="Times New Roman" w:hAnsi="Times New Roman" w:cs="Times New Roman"/>
          <w:lang w:val="en-US" w:eastAsia="it-IT"/>
        </w:rPr>
        <w:t xml:space="preserve"> Pa and the working distance at 6.60 mm. </w:t>
      </w:r>
      <w:r w:rsidR="00623564" w:rsidRPr="00BB66A8">
        <w:rPr>
          <w:rFonts w:ascii="Times New Roman" w:hAnsi="Times New Roman" w:cs="Times New Roman"/>
          <w:lang w:val="en-US" w:eastAsia="it-IT"/>
        </w:rPr>
        <w:t>Before</w:t>
      </w:r>
      <w:r w:rsidR="005F30F5" w:rsidRPr="00BB66A8">
        <w:rPr>
          <w:rFonts w:ascii="Times New Roman" w:hAnsi="Times New Roman" w:cs="Times New Roman"/>
          <w:lang w:val="en-US" w:eastAsia="it-IT"/>
        </w:rPr>
        <w:t xml:space="preserve"> analysis, the samples had undergone a metallization process with Au/Pd using an EDWARDS S150A Sputter Coater, placing them at vacuum values of 10</w:t>
      </w:r>
      <w:r w:rsidR="005F30F5" w:rsidRPr="00BB66A8">
        <w:rPr>
          <w:rFonts w:ascii="Times New Roman" w:hAnsi="Times New Roman" w:cs="Times New Roman"/>
          <w:vertAlign w:val="superscript"/>
          <w:lang w:val="en-US" w:eastAsia="it-IT"/>
        </w:rPr>
        <w:t>-1</w:t>
      </w:r>
      <w:r w:rsidR="005F30F5" w:rsidRPr="00BB66A8">
        <w:rPr>
          <w:rFonts w:ascii="Times New Roman" w:hAnsi="Times New Roman" w:cs="Times New Roman"/>
          <w:lang w:val="en-US" w:eastAsia="it-IT"/>
        </w:rPr>
        <w:t xml:space="preserve"> Pa and a voltage of 20 mA for two minutes. </w:t>
      </w:r>
      <w:r w:rsidRPr="00BB66A8">
        <w:rPr>
          <w:rFonts w:ascii="Times New Roman" w:hAnsi="Times New Roman" w:cs="Times New Roman"/>
        </w:rPr>
        <w:t xml:space="preserve">Finally, </w:t>
      </w:r>
      <w:r w:rsidRPr="00BB66A8">
        <w:rPr>
          <w:rFonts w:ascii="Times New Roman" w:hAnsi="Times New Roman" w:cs="Times New Roman"/>
          <w:lang w:val="en-US" w:eastAsia="it-IT"/>
        </w:rPr>
        <w:t>for the evaluation of the efficiency of the coatings p</w:t>
      </w:r>
      <w:r w:rsidR="003E44E3">
        <w:rPr>
          <w:rFonts w:ascii="Times New Roman" w:hAnsi="Times New Roman" w:cs="Times New Roman"/>
          <w:lang w:val="en-US" w:eastAsia="it-IT"/>
        </w:rPr>
        <w:t>rocess</w:t>
      </w:r>
      <w:r w:rsidRPr="00BB66A8">
        <w:rPr>
          <w:rFonts w:ascii="Times New Roman" w:hAnsi="Times New Roman" w:cs="Times New Roman"/>
          <w:lang w:val="en-US" w:eastAsia="it-IT"/>
        </w:rPr>
        <w:t>, a disintegration test was conducted as reported in Section 2.6</w:t>
      </w:r>
      <w:r w:rsidR="005F30F5" w:rsidRPr="00BB66A8">
        <w:rPr>
          <w:rFonts w:ascii="Times New Roman" w:hAnsi="Times New Roman" w:cs="Times New Roman"/>
          <w:lang w:val="en-US" w:eastAsia="it-IT"/>
        </w:rPr>
        <w:t>,</w:t>
      </w:r>
      <w:r w:rsidR="005F30F5" w:rsidRPr="00BB66A8">
        <w:rPr>
          <w:rFonts w:ascii="Times New Roman" w:hAnsi="Times New Roman" w:cs="Times New Roman"/>
        </w:rPr>
        <w:t xml:space="preserve"> </w:t>
      </w:r>
      <w:r w:rsidR="005F30F5" w:rsidRPr="00BB66A8">
        <w:rPr>
          <w:rFonts w:ascii="Times New Roman" w:hAnsi="Times New Roman" w:cs="Times New Roman"/>
          <w:lang w:val="en-US" w:eastAsia="it-IT"/>
        </w:rPr>
        <w:t xml:space="preserve">changing only the pH value of the basic medium, which shifted from 6.8 to 7.4.  </w:t>
      </w:r>
      <w:r w:rsidRPr="00BB66A8">
        <w:rPr>
          <w:rFonts w:ascii="Times New Roman" w:hAnsi="Times New Roman" w:cs="Times New Roman"/>
          <w:lang w:val="en-US" w:eastAsia="it-IT"/>
        </w:rPr>
        <w:t xml:space="preserve">  </w:t>
      </w:r>
    </w:p>
    <w:p w14:paraId="0D7F35DA" w14:textId="77777777" w:rsidR="00A2620A" w:rsidRPr="00BB66A8" w:rsidRDefault="00A2620A" w:rsidP="006C0E78">
      <w:pPr>
        <w:pStyle w:val="Titolo3"/>
        <w:ind w:left="567"/>
        <w:rPr>
          <w:rFonts w:ascii="Times New Roman" w:hAnsi="Times New Roman" w:cs="Times New Roman"/>
        </w:rPr>
      </w:pPr>
      <w:r w:rsidRPr="00BB66A8">
        <w:rPr>
          <w:rFonts w:ascii="Times New Roman" w:hAnsi="Times New Roman" w:cs="Times New Roman"/>
        </w:rPr>
        <w:t>In vitro release studies on coated MT2</w:t>
      </w:r>
    </w:p>
    <w:p w14:paraId="6441A237" w14:textId="5049EEB4" w:rsidR="00A2620A" w:rsidRPr="00BB66A8" w:rsidRDefault="00A2620A" w:rsidP="001030ED">
      <w:pPr>
        <w:rPr>
          <w:rFonts w:ascii="Times New Roman" w:hAnsi="Times New Roman" w:cs="Times New Roman"/>
          <w:lang w:val="en-US" w:eastAsia="it-IT"/>
        </w:rPr>
      </w:pPr>
      <w:r w:rsidRPr="00BB66A8">
        <w:rPr>
          <w:rFonts w:ascii="Times New Roman" w:hAnsi="Times New Roman" w:cs="Times New Roman"/>
          <w:lang w:val="en-US" w:eastAsia="it-IT"/>
        </w:rPr>
        <w:t>To estimate the efficiency of the filming process and the effectiveness of the used coating suspension, BD release studies were p</w:t>
      </w:r>
      <w:r w:rsidR="003E44E3">
        <w:rPr>
          <w:rFonts w:ascii="Times New Roman" w:hAnsi="Times New Roman" w:cs="Times New Roman"/>
          <w:lang w:val="en-US" w:eastAsia="it-IT"/>
        </w:rPr>
        <w:t>erformed</w:t>
      </w:r>
      <w:r w:rsidRPr="00BB66A8">
        <w:rPr>
          <w:rFonts w:ascii="Times New Roman" w:hAnsi="Times New Roman" w:cs="Times New Roman"/>
          <w:lang w:val="en-US" w:eastAsia="it-IT"/>
        </w:rPr>
        <w:t xml:space="preserve"> </w:t>
      </w:r>
      <w:r w:rsidR="00623564" w:rsidRPr="00BB66A8">
        <w:rPr>
          <w:rFonts w:ascii="Times New Roman" w:hAnsi="Times New Roman" w:cs="Times New Roman"/>
          <w:lang w:val="en-US" w:eastAsia="it-IT"/>
        </w:rPr>
        <w:t xml:space="preserve">for </w:t>
      </w:r>
      <w:r w:rsidRPr="00BB66A8">
        <w:rPr>
          <w:rFonts w:ascii="Times New Roman" w:hAnsi="Times New Roman" w:cs="Times New Roman"/>
          <w:lang w:val="en-US" w:eastAsia="it-IT"/>
        </w:rPr>
        <w:t>C-MT2 4% and C-MT2 6% in the paddle dissolver previously described.</w:t>
      </w:r>
      <w:r w:rsidRPr="00BB66A8">
        <w:rPr>
          <w:rFonts w:ascii="Times New Roman" w:hAnsi="Times New Roman" w:cs="Times New Roman"/>
        </w:rPr>
        <w:t xml:space="preserve"> </w:t>
      </w:r>
      <w:r w:rsidRPr="00BB66A8">
        <w:rPr>
          <w:rFonts w:ascii="Times New Roman" w:hAnsi="Times New Roman" w:cs="Times New Roman"/>
          <w:lang w:val="en-US" w:eastAsia="it-IT"/>
        </w:rPr>
        <w:t xml:space="preserve">The experiment was conducted in </w:t>
      </w:r>
      <w:r w:rsidR="00241C9C" w:rsidRPr="00BB66A8">
        <w:rPr>
          <w:rFonts w:ascii="Times New Roman" w:hAnsi="Times New Roman" w:cs="Times New Roman"/>
          <w:lang w:val="en-US" w:eastAsia="it-IT"/>
        </w:rPr>
        <w:t xml:space="preserve">the </w:t>
      </w:r>
      <w:r w:rsidRPr="00BB66A8">
        <w:rPr>
          <w:rFonts w:ascii="Times New Roman" w:hAnsi="Times New Roman" w:cs="Times New Roman"/>
          <w:lang w:val="en-US" w:eastAsia="it-IT"/>
        </w:rPr>
        <w:t>same conditions reported in section 2.9. At predefined time intervals (30 min), 1 mL samples were taken and replaced with the same volume of pre-warmed fresh medium. The recovered samples were filtered through 0.22 µm cellulose acetate filters and finally analysed by HPLC.</w:t>
      </w:r>
    </w:p>
    <w:p w14:paraId="44F916C2" w14:textId="77777777" w:rsidR="00A2620A" w:rsidRPr="00BB66A8" w:rsidRDefault="00A2620A" w:rsidP="006C0E78">
      <w:pPr>
        <w:pStyle w:val="Titolo3"/>
        <w:ind w:left="284" w:hanging="142"/>
        <w:rPr>
          <w:rFonts w:ascii="Times New Roman" w:hAnsi="Times New Roman" w:cs="Times New Roman"/>
        </w:rPr>
      </w:pPr>
      <w:r w:rsidRPr="00BB66A8">
        <w:rPr>
          <w:rFonts w:ascii="Times New Roman" w:hAnsi="Times New Roman" w:cs="Times New Roman"/>
        </w:rPr>
        <w:t>Statistical analysis</w:t>
      </w:r>
    </w:p>
    <w:p w14:paraId="693935E8" w14:textId="4CBD7838" w:rsidR="00A23A55" w:rsidRDefault="00A2620A" w:rsidP="006B1490">
      <w:pPr>
        <w:rPr>
          <w:rFonts w:ascii="Times New Roman" w:hAnsi="Times New Roman" w:cs="Times New Roman"/>
        </w:rPr>
      </w:pPr>
      <w:r w:rsidRPr="00BB66A8">
        <w:rPr>
          <w:rFonts w:ascii="Times New Roman" w:hAnsi="Times New Roman" w:cs="Times New Roman"/>
        </w:rPr>
        <w:t>The experimental data were reported as mean ± standard deviation</w:t>
      </w:r>
      <w:r w:rsidR="00623564" w:rsidRPr="00BB66A8">
        <w:rPr>
          <w:rFonts w:ascii="Times New Roman" w:hAnsi="Times New Roman" w:cs="Times New Roman"/>
        </w:rPr>
        <w:t xml:space="preserve"> (SD</w:t>
      </w:r>
      <w:r w:rsidRPr="00BB66A8">
        <w:rPr>
          <w:rFonts w:ascii="Times New Roman" w:hAnsi="Times New Roman" w:cs="Times New Roman"/>
        </w:rPr>
        <w:t xml:space="preserve">). </w:t>
      </w:r>
      <w:r w:rsidRPr="00446A01">
        <w:rPr>
          <w:rFonts w:ascii="Times New Roman" w:hAnsi="Times New Roman" w:cs="Times New Roman"/>
        </w:rPr>
        <w:t>Statistical analysis</w:t>
      </w:r>
      <w:r w:rsidRPr="00BB66A8">
        <w:rPr>
          <w:rFonts w:ascii="Times New Roman" w:hAnsi="Times New Roman" w:cs="Times New Roman"/>
        </w:rPr>
        <w:t xml:space="preserve"> was conducted by Graph Prism version </w:t>
      </w:r>
      <w:r w:rsidR="007D2E87">
        <w:rPr>
          <w:rFonts w:ascii="Times New Roman" w:hAnsi="Times New Roman" w:cs="Times New Roman"/>
        </w:rPr>
        <w:t>8</w:t>
      </w:r>
      <w:r w:rsidRPr="00BB66A8">
        <w:rPr>
          <w:rFonts w:ascii="Times New Roman" w:hAnsi="Times New Roman" w:cs="Times New Roman"/>
        </w:rPr>
        <w:t>.0</w:t>
      </w:r>
      <w:r w:rsidR="00B479F2">
        <w:rPr>
          <w:rFonts w:ascii="Times New Roman" w:hAnsi="Times New Roman" w:cs="Times New Roman"/>
        </w:rPr>
        <w:t>.2</w:t>
      </w:r>
      <w:r w:rsidRPr="00BB66A8">
        <w:rPr>
          <w:rFonts w:ascii="Times New Roman" w:hAnsi="Times New Roman" w:cs="Times New Roman"/>
        </w:rPr>
        <w:t xml:space="preserve"> (Graphad Sofware Inc., La Jolla, CA, USA).</w:t>
      </w:r>
      <w:r w:rsidR="007D2E87">
        <w:rPr>
          <w:rFonts w:ascii="Times New Roman" w:hAnsi="Times New Roman" w:cs="Times New Roman"/>
        </w:rPr>
        <w:t xml:space="preserve"> Groups of data were calculated using</w:t>
      </w:r>
      <w:r w:rsidR="00446A01">
        <w:rPr>
          <w:rFonts w:ascii="Times New Roman" w:hAnsi="Times New Roman" w:cs="Times New Roman"/>
        </w:rPr>
        <w:t xml:space="preserve"> </w:t>
      </w:r>
      <w:r w:rsidR="00446A01" w:rsidRPr="00446A01">
        <w:rPr>
          <w:rFonts w:ascii="Times New Roman" w:hAnsi="Times New Roman" w:cs="Times New Roman"/>
        </w:rPr>
        <w:t xml:space="preserve">a </w:t>
      </w:r>
      <w:r w:rsidR="00446A01">
        <w:rPr>
          <w:rFonts w:ascii="Times New Roman" w:hAnsi="Times New Roman" w:cs="Times New Roman"/>
        </w:rPr>
        <w:t>one</w:t>
      </w:r>
      <w:r w:rsidR="00446A01" w:rsidRPr="00446A01">
        <w:rPr>
          <w:rFonts w:ascii="Times New Roman" w:hAnsi="Times New Roman" w:cs="Times New Roman"/>
        </w:rPr>
        <w:t>-way analysis of variance (ANOVA) followed by the Bonferroni post hoc test, set at the probabilities of **** p&lt;0.0001.</w:t>
      </w:r>
    </w:p>
    <w:p w14:paraId="56555CD3" w14:textId="77777777" w:rsidR="001A118D" w:rsidRPr="00BB66A8" w:rsidRDefault="001A118D" w:rsidP="006B1490">
      <w:pPr>
        <w:rPr>
          <w:rFonts w:ascii="Times New Roman" w:hAnsi="Times New Roman" w:cs="Times New Roman"/>
        </w:rPr>
      </w:pPr>
    </w:p>
    <w:p w14:paraId="2E0278AB" w14:textId="77777777" w:rsidR="00A2620A" w:rsidRPr="00BB66A8" w:rsidRDefault="00A2620A" w:rsidP="00A76D5F">
      <w:pPr>
        <w:pStyle w:val="Titolo2"/>
        <w:numPr>
          <w:ilvl w:val="0"/>
          <w:numId w:val="9"/>
        </w:numPr>
        <w:rPr>
          <w:rFonts w:ascii="Times New Roman" w:hAnsi="Times New Roman" w:cs="Times New Roman"/>
        </w:rPr>
      </w:pPr>
      <w:r w:rsidRPr="00BB66A8">
        <w:rPr>
          <w:rFonts w:ascii="Times New Roman" w:hAnsi="Times New Roman" w:cs="Times New Roman"/>
        </w:rPr>
        <w:t>Results and discussion</w:t>
      </w:r>
    </w:p>
    <w:p w14:paraId="2FDBFA0F" w14:textId="77777777" w:rsidR="00A2620A" w:rsidRPr="00BB66A8" w:rsidRDefault="00A2620A" w:rsidP="00A76D5F">
      <w:pPr>
        <w:rPr>
          <w:rFonts w:ascii="Times New Roman" w:hAnsi="Times New Roman" w:cs="Times New Roman"/>
        </w:rPr>
      </w:pPr>
    </w:p>
    <w:p w14:paraId="2514E54C" w14:textId="77777777" w:rsidR="00A2620A" w:rsidRPr="00BB66A8" w:rsidRDefault="00A2620A" w:rsidP="00D00004">
      <w:pPr>
        <w:pStyle w:val="Paragrafoelenco"/>
        <w:keepNext/>
        <w:keepLines/>
        <w:numPr>
          <w:ilvl w:val="0"/>
          <w:numId w:val="4"/>
        </w:numPr>
        <w:spacing w:before="360" w:after="120"/>
        <w:contextualSpacing w:val="0"/>
        <w:outlineLvl w:val="2"/>
        <w:rPr>
          <w:rFonts w:ascii="Times New Roman" w:eastAsia="Times New Roman" w:hAnsi="Times New Roman" w:cs="Times New Roman"/>
          <w:i/>
          <w:vanish/>
          <w:sz w:val="24"/>
          <w:szCs w:val="24"/>
          <w:lang w:val="en-US" w:eastAsia="it-IT"/>
        </w:rPr>
      </w:pPr>
    </w:p>
    <w:p w14:paraId="2DAD51E7" w14:textId="77777777" w:rsidR="00A2620A" w:rsidRPr="00BB66A8" w:rsidRDefault="00A2620A" w:rsidP="00D00004">
      <w:pPr>
        <w:pStyle w:val="Titolo3"/>
        <w:rPr>
          <w:rFonts w:ascii="Times New Roman" w:hAnsi="Times New Roman" w:cs="Times New Roman"/>
        </w:rPr>
      </w:pPr>
      <w:r w:rsidRPr="00BB66A8">
        <w:rPr>
          <w:rFonts w:ascii="Times New Roman" w:hAnsi="Times New Roman" w:cs="Times New Roman"/>
        </w:rPr>
        <w:t>Determination of the BD loading degree in the inclusion complex</w:t>
      </w:r>
    </w:p>
    <w:p w14:paraId="6D2BD4B8" w14:textId="1672B7F5" w:rsidR="00A2620A" w:rsidRPr="00BB66A8" w:rsidRDefault="00A2620A" w:rsidP="00D00004">
      <w:pPr>
        <w:rPr>
          <w:rFonts w:ascii="Times New Roman" w:hAnsi="Times New Roman" w:cs="Times New Roman"/>
          <w:lang w:val="en-US" w:eastAsia="it-IT"/>
        </w:rPr>
      </w:pPr>
      <w:r w:rsidRPr="00BB66A8">
        <w:rPr>
          <w:rFonts w:ascii="Times New Roman" w:hAnsi="Times New Roman" w:cs="Times New Roman"/>
          <w:lang w:val="en-US" w:eastAsia="it-IT"/>
        </w:rPr>
        <w:t xml:space="preserve">Studies </w:t>
      </w:r>
      <w:r w:rsidR="003E44E3">
        <w:rPr>
          <w:rFonts w:ascii="Times New Roman" w:hAnsi="Times New Roman" w:cs="Times New Roman"/>
          <w:lang w:val="en-US" w:eastAsia="it-IT"/>
        </w:rPr>
        <w:t xml:space="preserve">on </w:t>
      </w:r>
      <w:r w:rsidRPr="00BB66A8">
        <w:rPr>
          <w:rFonts w:ascii="Times New Roman" w:hAnsi="Times New Roman" w:cs="Times New Roman"/>
          <w:lang w:val="en-US" w:eastAsia="it-IT"/>
        </w:rPr>
        <w:t xml:space="preserve">BD </w:t>
      </w:r>
      <w:r w:rsidR="003E44E3" w:rsidRPr="00BB66A8">
        <w:rPr>
          <w:rFonts w:ascii="Times New Roman" w:hAnsi="Times New Roman" w:cs="Times New Roman"/>
          <w:lang w:val="en-US" w:eastAsia="it-IT"/>
        </w:rPr>
        <w:t xml:space="preserve">complexation </w:t>
      </w:r>
      <w:r w:rsidRPr="00BB66A8">
        <w:rPr>
          <w:rFonts w:ascii="Times New Roman" w:hAnsi="Times New Roman" w:cs="Times New Roman"/>
          <w:lang w:val="en-US" w:eastAsia="it-IT"/>
        </w:rPr>
        <w:t>with HP-β-CD</w:t>
      </w:r>
      <w:r w:rsidR="003E44E3">
        <w:rPr>
          <w:rFonts w:ascii="Times New Roman" w:hAnsi="Times New Roman" w:cs="Times New Roman"/>
          <w:lang w:val="en-US" w:eastAsia="it-IT"/>
        </w:rPr>
        <w:t xml:space="preserve"> </w:t>
      </w:r>
      <w:r w:rsidR="00B27CAA" w:rsidRPr="00BB66A8">
        <w:rPr>
          <w:rFonts w:ascii="Times New Roman" w:hAnsi="Times New Roman" w:cs="Times New Roman"/>
          <w:lang w:val="en-US" w:eastAsia="it-IT"/>
        </w:rPr>
        <w:t>(IC)</w:t>
      </w:r>
      <w:r w:rsidR="003E44E3">
        <w:rPr>
          <w:rFonts w:ascii="Times New Roman" w:hAnsi="Times New Roman" w:cs="Times New Roman"/>
          <w:lang w:val="en-US" w:eastAsia="it-IT"/>
        </w:rPr>
        <w:t xml:space="preserve"> </w:t>
      </w:r>
      <w:r w:rsidRPr="00BB66A8">
        <w:rPr>
          <w:rFonts w:ascii="Times New Roman" w:hAnsi="Times New Roman" w:cs="Times New Roman"/>
          <w:lang w:val="en-US" w:eastAsia="it-IT"/>
        </w:rPr>
        <w:t>were widely reported in the literature, describ</w:t>
      </w:r>
      <w:r w:rsidR="00B27CAA" w:rsidRPr="00BB66A8">
        <w:rPr>
          <w:rFonts w:ascii="Times New Roman" w:hAnsi="Times New Roman" w:cs="Times New Roman"/>
          <w:lang w:val="en-US" w:eastAsia="it-IT"/>
        </w:rPr>
        <w:t>ing</w:t>
      </w:r>
      <w:r w:rsidRPr="00BB66A8">
        <w:rPr>
          <w:rFonts w:ascii="Times New Roman" w:hAnsi="Times New Roman" w:cs="Times New Roman"/>
          <w:lang w:val="en-US" w:eastAsia="it-IT"/>
        </w:rPr>
        <w:t xml:space="preserve"> the formation of a hydrosoluble complex with a host (BD): guest (HP-β-CD) stoichiometry of 1:1 </w:t>
      </w:r>
      <w:r w:rsidR="00432BE0" w:rsidRPr="00BB66A8">
        <w:rPr>
          <w:rFonts w:ascii="Times New Roman" w:hAnsi="Times New Roman" w:cs="Times New Roman"/>
          <w:color w:val="000000"/>
        </w:rPr>
        <w:t>(Dufour et al., 2015; Kinnarinen et al., 2003; Laquintana et al., 2019; Santos Akkari et al., 2016)</w:t>
      </w:r>
      <w:r w:rsidRPr="00BB66A8">
        <w:rPr>
          <w:rFonts w:ascii="Times New Roman" w:hAnsi="Times New Roman" w:cs="Times New Roman"/>
          <w:lang w:val="en-US" w:eastAsia="it-IT"/>
        </w:rPr>
        <w:t>. Th</w:t>
      </w:r>
      <w:r w:rsidR="003E44E3">
        <w:rPr>
          <w:rFonts w:ascii="Times New Roman" w:hAnsi="Times New Roman" w:cs="Times New Roman"/>
          <w:lang w:val="en-US" w:eastAsia="it-IT"/>
        </w:rPr>
        <w:t>i</w:t>
      </w:r>
      <w:r w:rsidRPr="00BB66A8">
        <w:rPr>
          <w:rFonts w:ascii="Times New Roman" w:hAnsi="Times New Roman" w:cs="Times New Roman"/>
          <w:lang w:val="en-US" w:eastAsia="it-IT"/>
        </w:rPr>
        <w:t>s IC was classified as an A</w:t>
      </w:r>
      <w:r w:rsidRPr="00BB66A8">
        <w:rPr>
          <w:rFonts w:ascii="Times New Roman" w:hAnsi="Times New Roman" w:cs="Times New Roman"/>
          <w:vertAlign w:val="subscript"/>
          <w:lang w:val="en-US" w:eastAsia="it-IT"/>
        </w:rPr>
        <w:t>L</w:t>
      </w:r>
      <w:r w:rsidRPr="00BB66A8">
        <w:rPr>
          <w:rFonts w:ascii="Times New Roman" w:hAnsi="Times New Roman" w:cs="Times New Roman"/>
          <w:lang w:val="en-US" w:eastAsia="it-IT"/>
        </w:rPr>
        <w:t xml:space="preserve">-type complex, according to the Higuchi-Connors model, and exhibited a typical pattern of the complex with 1:1 stoichiometry when studied by Job's diagram </w:t>
      </w:r>
      <w:r w:rsidR="00432BE0" w:rsidRPr="00BB66A8">
        <w:rPr>
          <w:rFonts w:ascii="Times New Roman" w:hAnsi="Times New Roman" w:cs="Times New Roman"/>
          <w:color w:val="000000"/>
        </w:rPr>
        <w:t>(Laquintana et al., 2019)</w:t>
      </w:r>
      <w:r w:rsidRPr="00BB66A8">
        <w:rPr>
          <w:rFonts w:ascii="Times New Roman" w:hAnsi="Times New Roman" w:cs="Times New Roman"/>
          <w:lang w:val="en-US" w:eastAsia="it-IT"/>
        </w:rPr>
        <w:t xml:space="preserve">. As reported in the experimental section, the IC was </w:t>
      </w:r>
      <w:r w:rsidR="00B27CAA" w:rsidRPr="00BB66A8">
        <w:rPr>
          <w:rFonts w:ascii="Times New Roman" w:hAnsi="Times New Roman" w:cs="Times New Roman"/>
          <w:lang w:val="en-US" w:eastAsia="it-IT"/>
        </w:rPr>
        <w:t xml:space="preserve">produced </w:t>
      </w:r>
      <w:r w:rsidRPr="00BB66A8">
        <w:rPr>
          <w:rFonts w:ascii="Times New Roman" w:hAnsi="Times New Roman" w:cs="Times New Roman"/>
          <w:lang w:val="en-US" w:eastAsia="it-IT"/>
        </w:rPr>
        <w:t xml:space="preserve">by FD, which allowed the production of a high quality and homogeneous powder product </w:t>
      </w:r>
      <w:r w:rsidR="00432BE0" w:rsidRPr="00BB66A8">
        <w:rPr>
          <w:rFonts w:ascii="Times New Roman" w:hAnsi="Times New Roman" w:cs="Times New Roman"/>
          <w:color w:val="000000"/>
        </w:rPr>
        <w:t>(Ozdemir et al., 2018)</w:t>
      </w:r>
      <w:r w:rsidRPr="00BB66A8">
        <w:rPr>
          <w:rFonts w:ascii="Times New Roman" w:hAnsi="Times New Roman" w:cs="Times New Roman"/>
          <w:lang w:val="en-US" w:eastAsia="it-IT"/>
        </w:rPr>
        <w:t xml:space="preserve">. The complexed drug content was assessed by HPLC analysis and the EE% was found to be 95.87%. The high efficiency demonstrated that the method selected for the realization of the IC provided excellent contact conditions between host and guest </w:t>
      </w:r>
      <w:r w:rsidR="00432BE0" w:rsidRPr="00BB66A8">
        <w:rPr>
          <w:rFonts w:ascii="Times New Roman" w:hAnsi="Times New Roman" w:cs="Times New Roman"/>
          <w:color w:val="000000"/>
        </w:rPr>
        <w:t>(Santos et al., 2015)</w:t>
      </w:r>
      <w:r w:rsidRPr="00BB66A8">
        <w:rPr>
          <w:rFonts w:ascii="Times New Roman" w:hAnsi="Times New Roman" w:cs="Times New Roman"/>
          <w:lang w:val="en-US" w:eastAsia="it-IT"/>
        </w:rPr>
        <w:t>.</w:t>
      </w:r>
    </w:p>
    <w:p w14:paraId="458C93D3" w14:textId="77777777" w:rsidR="00A2620A" w:rsidRPr="00BB66A8" w:rsidRDefault="00A2620A" w:rsidP="00005855">
      <w:pPr>
        <w:pStyle w:val="Titolo3"/>
        <w:rPr>
          <w:rFonts w:ascii="Times New Roman" w:hAnsi="Times New Roman" w:cs="Times New Roman"/>
        </w:rPr>
      </w:pPr>
      <w:r w:rsidRPr="00BB66A8">
        <w:rPr>
          <w:rFonts w:ascii="Times New Roman" w:hAnsi="Times New Roman" w:cs="Times New Roman"/>
        </w:rPr>
        <w:t>Printing process by Direct Powder Extrusion</w:t>
      </w:r>
    </w:p>
    <w:p w14:paraId="3D0FDE98" w14:textId="78DAFFC1" w:rsidR="00A2620A" w:rsidRPr="00BB66A8" w:rsidRDefault="00803CAD" w:rsidP="00803CAD">
      <w:pPr>
        <w:rPr>
          <w:rFonts w:ascii="Times New Roman" w:hAnsi="Times New Roman" w:cs="Times New Roman"/>
          <w:lang w:val="en-US" w:eastAsia="it-IT"/>
        </w:rPr>
      </w:pPr>
      <w:r w:rsidRPr="00803CAD">
        <w:rPr>
          <w:rFonts w:ascii="Times New Roman" w:hAnsi="Times New Roman" w:cs="Times New Roman"/>
          <w:lang w:val="en-US" w:eastAsia="it-IT"/>
        </w:rPr>
        <w:t xml:space="preserve">The main objective of this project was to obtain a pharmaceutical form that would provide flexibility control and dose customization and have an appropriate shape and size to meet the needs of vulnerable and </w:t>
      </w:r>
      <w:r w:rsidRPr="00803CAD">
        <w:rPr>
          <w:rFonts w:ascii="Times New Roman" w:hAnsi="Times New Roman" w:cs="Times New Roman"/>
          <w:lang w:val="en-US" w:eastAsia="it-IT"/>
        </w:rPr>
        <w:lastRenderedPageBreak/>
        <w:t>inhomogeneous pediatric patients with EC.</w:t>
      </w:r>
      <w:r>
        <w:rPr>
          <w:rFonts w:ascii="Times New Roman" w:hAnsi="Times New Roman" w:cs="Times New Roman"/>
          <w:lang w:val="en-US" w:eastAsia="it-IT"/>
        </w:rPr>
        <w:t xml:space="preserve"> </w:t>
      </w:r>
      <w:r w:rsidR="001A118D" w:rsidRPr="001A118D">
        <w:rPr>
          <w:rFonts w:ascii="Times New Roman" w:hAnsi="Times New Roman" w:cs="Times New Roman"/>
          <w:lang w:val="en-US" w:eastAsia="it-IT"/>
        </w:rPr>
        <w:t>Specifically</w:t>
      </w:r>
      <w:r w:rsidR="00A2620A" w:rsidRPr="001A118D">
        <w:rPr>
          <w:rFonts w:ascii="Times New Roman" w:hAnsi="Times New Roman" w:cs="Times New Roman"/>
          <w:lang w:val="en-US" w:eastAsia="it-IT"/>
        </w:rPr>
        <w:t>, BD-based MT</w:t>
      </w:r>
      <w:r w:rsidR="00241C9C" w:rsidRPr="001A118D">
        <w:rPr>
          <w:rFonts w:ascii="Times New Roman" w:hAnsi="Times New Roman" w:cs="Times New Roman"/>
          <w:lang w:val="en-US" w:eastAsia="it-IT"/>
        </w:rPr>
        <w:t>s</w:t>
      </w:r>
      <w:r w:rsidR="00A2620A" w:rsidRPr="001A118D">
        <w:rPr>
          <w:rFonts w:ascii="Times New Roman" w:hAnsi="Times New Roman" w:cs="Times New Roman"/>
          <w:lang w:val="en-US" w:eastAsia="it-IT"/>
        </w:rPr>
        <w:t xml:space="preserve"> with different polymeric compositions were printed to select the best formulation</w:t>
      </w:r>
      <w:r w:rsidR="001A118D" w:rsidRPr="001A118D">
        <w:rPr>
          <w:rFonts w:ascii="Times New Roman" w:hAnsi="Times New Roman" w:cs="Times New Roman"/>
          <w:lang w:val="en-US" w:eastAsia="it-IT"/>
        </w:rPr>
        <w:t>.</w:t>
      </w:r>
      <w:r w:rsidR="00A2620A" w:rsidRPr="001A118D">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Thus, a cylindrical geometry of </w:t>
      </w:r>
      <w:r w:rsidR="00373DE1" w:rsidRPr="00BB66A8">
        <w:rPr>
          <w:rFonts w:ascii="Times New Roman" w:hAnsi="Times New Roman" w:cs="Times New Roman"/>
          <w:lang w:val="en-US" w:eastAsia="it-IT"/>
        </w:rPr>
        <w:t>5</w:t>
      </w:r>
      <w:r w:rsidR="00A2620A" w:rsidRPr="00BB66A8">
        <w:rPr>
          <w:rFonts w:ascii="Times New Roman" w:hAnsi="Times New Roman" w:cs="Times New Roman"/>
          <w:lang w:val="en-US" w:eastAsia="it-IT"/>
        </w:rPr>
        <w:t xml:space="preserve"> mm in diameter and 4 mm in thickness was selected in the CAD design of the MT, as it was considered effective for overcoming the swallowability problem </w:t>
      </w:r>
      <w:r w:rsidR="00866E99" w:rsidRPr="00BB66A8">
        <w:rPr>
          <w:rFonts w:ascii="Times New Roman" w:hAnsi="Times New Roman" w:cs="Times New Roman"/>
          <w:lang w:val="en-US" w:eastAsia="it-IT"/>
        </w:rPr>
        <w:t>in children</w:t>
      </w:r>
      <w:r w:rsidR="00866E99">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compared to conventional tablets </w:t>
      </w:r>
      <w:r w:rsidR="00432BE0" w:rsidRPr="00BB66A8">
        <w:rPr>
          <w:rFonts w:ascii="Times New Roman" w:hAnsi="Times New Roman" w:cs="Times New Roman"/>
          <w:color w:val="000000"/>
        </w:rPr>
        <w:t>(El Aita et al., 2020b; Sánchez-Guirales et al., 2021; Suárez-González et al., 2021)</w:t>
      </w:r>
      <w:r w:rsidR="00A2620A" w:rsidRPr="00BB66A8">
        <w:rPr>
          <w:rFonts w:ascii="Times New Roman" w:hAnsi="Times New Roman" w:cs="Times New Roman"/>
          <w:lang w:val="en-US" w:eastAsia="it-IT"/>
        </w:rPr>
        <w:t>. The studied powder mixtures were alternately placed inside the hopper of the 3D ForMe printer, a single-screw extruder specified for the 3D DPE technique (Fig</w:t>
      </w:r>
      <w:r w:rsidR="00BE7B0E">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1). The three prepared powder mixtures resulted </w:t>
      </w:r>
      <w:r w:rsidR="00321269" w:rsidRPr="00BB66A8">
        <w:rPr>
          <w:rFonts w:ascii="Times New Roman" w:hAnsi="Times New Roman" w:cs="Times New Roman"/>
          <w:lang w:val="en-US" w:eastAsia="it-IT"/>
        </w:rPr>
        <w:t xml:space="preserve">in </w:t>
      </w:r>
      <w:r w:rsidR="00A2620A" w:rsidRPr="00BB66A8">
        <w:rPr>
          <w:rFonts w:ascii="Times New Roman" w:hAnsi="Times New Roman" w:cs="Times New Roman"/>
          <w:lang w:val="en-US" w:eastAsia="it-IT"/>
        </w:rPr>
        <w:t>a valid feed material for the 3D ForMe printer, permitting the set printing parameters to be maintained.</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 xml:space="preserve">This </w:t>
      </w:r>
      <w:r w:rsidR="00A2620A" w:rsidRPr="00E80E70">
        <w:rPr>
          <w:rFonts w:ascii="Times New Roman" w:hAnsi="Times New Roman" w:cs="Times New Roman"/>
          <w:lang w:val="en-US" w:eastAsia="it-IT"/>
        </w:rPr>
        <w:t>indicate</w:t>
      </w:r>
      <w:r w:rsidR="00E80E70">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that the </w:t>
      </w:r>
      <w:r w:rsidR="00784406" w:rsidRPr="00784406">
        <w:rPr>
          <w:rFonts w:ascii="Times New Roman" w:hAnsi="Times New Roman" w:cs="Times New Roman"/>
          <w:lang w:val="en-US" w:eastAsia="it-IT"/>
        </w:rPr>
        <w:t>choice</w:t>
      </w:r>
      <w:r w:rsidR="00A2620A" w:rsidRPr="00BB66A8">
        <w:rPr>
          <w:rFonts w:ascii="Times New Roman" w:hAnsi="Times New Roman" w:cs="Times New Roman"/>
          <w:lang w:val="en-US" w:eastAsia="it-IT"/>
        </w:rPr>
        <w:t xml:space="preserve"> of each excipient</w:t>
      </w:r>
      <w:r w:rsidR="00F32E77">
        <w:rPr>
          <w:rFonts w:ascii="Times New Roman" w:hAnsi="Times New Roman" w:cs="Times New Roman"/>
          <w:lang w:val="en-US" w:eastAsia="it-IT"/>
        </w:rPr>
        <w:t xml:space="preserve"> </w:t>
      </w:r>
      <w:r w:rsidR="003C7DE8" w:rsidRPr="003C7DE8">
        <w:rPr>
          <w:rFonts w:ascii="Times New Roman" w:hAnsi="Times New Roman" w:cs="Times New Roman"/>
          <w:lang w:val="en-US" w:eastAsia="it-IT"/>
        </w:rPr>
        <w:t xml:space="preserve">and their ratios </w:t>
      </w:r>
      <w:r w:rsidR="00435A4A">
        <w:rPr>
          <w:rFonts w:ascii="Times New Roman" w:hAnsi="Times New Roman" w:cs="Times New Roman"/>
          <w:lang w:val="en-US" w:eastAsia="it-IT"/>
        </w:rPr>
        <w:t>were</w:t>
      </w:r>
      <w:r w:rsidR="00A2620A" w:rsidRPr="00BB66A8">
        <w:rPr>
          <w:rFonts w:ascii="Times New Roman" w:hAnsi="Times New Roman" w:cs="Times New Roman"/>
          <w:lang w:val="en-US" w:eastAsia="it-IT"/>
        </w:rPr>
        <w:t xml:space="preserve"> done correctly and permitted the formation of a </w:t>
      </w:r>
      <w:r w:rsidR="00F32E77" w:rsidRPr="003C7DE8">
        <w:rPr>
          <w:rFonts w:ascii="Times New Roman" w:hAnsi="Times New Roman" w:cs="Times New Roman"/>
          <w:lang w:val="en-US" w:eastAsia="it-IT"/>
        </w:rPr>
        <w:t>fused mixture</w:t>
      </w:r>
      <w:r w:rsidR="00A2620A" w:rsidRPr="00BB66A8">
        <w:rPr>
          <w:rFonts w:ascii="Times New Roman" w:hAnsi="Times New Roman" w:cs="Times New Roman"/>
          <w:lang w:val="en-US" w:eastAsia="it-IT"/>
        </w:rPr>
        <w:t xml:space="preserve"> suitable for the extrusion process by DPE.</w:t>
      </w:r>
      <w:r w:rsidR="00E80E70">
        <w:rPr>
          <w:rFonts w:ascii="Times New Roman" w:hAnsi="Times New Roman" w:cs="Times New Roman"/>
          <w:lang w:val="en-US" w:eastAsia="it-IT"/>
        </w:rPr>
        <w:t xml:space="preserve"> </w:t>
      </w:r>
      <w:r w:rsidR="00E80E70" w:rsidRPr="00E80E70">
        <w:rPr>
          <w:rFonts w:ascii="Times New Roman" w:hAnsi="Times New Roman" w:cs="Times New Roman"/>
          <w:lang w:val="en-US" w:eastAsia="it-IT"/>
        </w:rPr>
        <w:t>All MTs were printed in the presence of AB, which is known to possess</w:t>
      </w:r>
      <w:r w:rsidR="00A2620A" w:rsidRPr="00BB66A8">
        <w:rPr>
          <w:rFonts w:ascii="Times New Roman" w:hAnsi="Times New Roman" w:cs="Times New Roman"/>
          <w:lang w:val="en-US" w:eastAsia="it-IT"/>
        </w:rPr>
        <w:t xml:space="preserve"> high </w:t>
      </w:r>
      <w:r w:rsidR="00A2620A" w:rsidRPr="003C7DE8">
        <w:rPr>
          <w:rFonts w:ascii="Times New Roman" w:hAnsi="Times New Roman" w:cs="Times New Roman"/>
          <w:lang w:val="en-US" w:eastAsia="it-IT"/>
        </w:rPr>
        <w:t>sensitivity</w:t>
      </w:r>
      <w:r w:rsidR="00A2620A" w:rsidRPr="00BB66A8">
        <w:rPr>
          <w:rFonts w:ascii="Times New Roman" w:hAnsi="Times New Roman" w:cs="Times New Roman"/>
          <w:lang w:val="en-US" w:eastAsia="it-IT"/>
        </w:rPr>
        <w:t xml:space="preserve"> to</w:t>
      </w:r>
      <w:r w:rsidR="00843EC3">
        <w:rPr>
          <w:rFonts w:ascii="Times New Roman" w:hAnsi="Times New Roman" w:cs="Times New Roman"/>
          <w:lang w:val="en-US" w:eastAsia="it-IT"/>
        </w:rPr>
        <w:t xml:space="preserve"> </w:t>
      </w:r>
      <w:r w:rsidR="00843EC3" w:rsidRPr="00843EC3">
        <w:rPr>
          <w:rFonts w:ascii="Times New Roman" w:hAnsi="Times New Roman" w:cs="Times New Roman"/>
          <w:lang w:val="en-US" w:eastAsia="it-IT"/>
        </w:rPr>
        <w:t>temperature and humidity</w:t>
      </w:r>
      <w:r w:rsidR="00843EC3">
        <w:rPr>
          <w:rFonts w:ascii="Times New Roman" w:hAnsi="Times New Roman" w:cs="Times New Roman"/>
          <w:lang w:val="en-US" w:eastAsia="it-IT"/>
        </w:rPr>
        <w:t xml:space="preserve"> </w:t>
      </w:r>
      <w:r w:rsidR="00843EC3" w:rsidRPr="00843EC3">
        <w:rPr>
          <w:rFonts w:ascii="Times New Roman" w:hAnsi="Times New Roman" w:cs="Times New Roman"/>
          <w:lang w:val="en-US" w:eastAsia="it-IT"/>
        </w:rPr>
        <w:t>found</w:t>
      </w:r>
      <w:r w:rsidR="00843EC3" w:rsidRPr="00BB66A8">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both </w:t>
      </w:r>
      <w:r w:rsidR="00843EC3">
        <w:rPr>
          <w:rFonts w:ascii="Times New Roman" w:hAnsi="Times New Roman" w:cs="Times New Roman"/>
          <w:lang w:val="en-US" w:eastAsia="it-IT"/>
        </w:rPr>
        <w:t xml:space="preserve">in </w:t>
      </w:r>
      <w:r w:rsidR="00A2620A" w:rsidRPr="00BB66A8">
        <w:rPr>
          <w:rFonts w:ascii="Times New Roman" w:hAnsi="Times New Roman" w:cs="Times New Roman"/>
          <w:lang w:val="en-US" w:eastAsia="it-IT"/>
        </w:rPr>
        <w:t xml:space="preserve">external environmental conditions </w:t>
      </w:r>
      <w:r w:rsidR="00432BE0" w:rsidRPr="00BB66A8">
        <w:rPr>
          <w:rFonts w:ascii="Times New Roman" w:hAnsi="Times New Roman" w:cs="Times New Roman"/>
          <w:color w:val="000000"/>
        </w:rPr>
        <w:t>(Sun et al., 2020)</w:t>
      </w:r>
      <w:r w:rsidR="00A2620A" w:rsidRPr="00BB66A8">
        <w:rPr>
          <w:rFonts w:ascii="Times New Roman" w:hAnsi="Times New Roman" w:cs="Times New Roman"/>
          <w:lang w:val="en-US" w:eastAsia="it-IT"/>
        </w:rPr>
        <w:t xml:space="preserve"> and </w:t>
      </w:r>
      <w:r w:rsidR="00843EC3">
        <w:rPr>
          <w:rFonts w:ascii="Times New Roman" w:hAnsi="Times New Roman" w:cs="Times New Roman"/>
          <w:lang w:val="en-US" w:eastAsia="it-IT"/>
        </w:rPr>
        <w:t xml:space="preserve">during the </w:t>
      </w:r>
      <w:r w:rsidR="00A2620A" w:rsidRPr="00BB66A8">
        <w:rPr>
          <w:rFonts w:ascii="Times New Roman" w:hAnsi="Times New Roman" w:cs="Times New Roman"/>
          <w:lang w:val="en-US" w:eastAsia="it-IT"/>
        </w:rPr>
        <w:t>production</w:t>
      </w:r>
      <w:r w:rsidR="00843EC3">
        <w:rPr>
          <w:rFonts w:ascii="Times New Roman" w:hAnsi="Times New Roman" w:cs="Times New Roman"/>
          <w:lang w:val="en-US" w:eastAsia="it-IT"/>
        </w:rPr>
        <w:t xml:space="preserve"> of MTs </w:t>
      </w:r>
      <w:r w:rsidR="00432BE0" w:rsidRPr="00BB66A8">
        <w:rPr>
          <w:rFonts w:ascii="Times New Roman" w:hAnsi="Times New Roman" w:cs="Times New Roman"/>
          <w:color w:val="000000"/>
        </w:rPr>
        <w:t>(Lima et al., 2020)</w:t>
      </w:r>
      <w:r w:rsidR="00A2620A" w:rsidRPr="00BB66A8">
        <w:rPr>
          <w:rFonts w:ascii="Times New Roman" w:hAnsi="Times New Roman" w:cs="Times New Roman"/>
          <w:lang w:val="en-US" w:eastAsia="it-IT"/>
        </w:rPr>
        <w:t>. Moreover,</w:t>
      </w:r>
      <w:r w:rsidR="00866E99">
        <w:rPr>
          <w:rFonts w:ascii="Times New Roman" w:hAnsi="Times New Roman" w:cs="Times New Roman"/>
          <w:lang w:val="en-US" w:eastAsia="it-IT"/>
        </w:rPr>
        <w:t xml:space="preserve"> </w:t>
      </w:r>
      <w:r w:rsidR="00917B62">
        <w:rPr>
          <w:rFonts w:ascii="Times New Roman" w:hAnsi="Times New Roman" w:cs="Times New Roman"/>
          <w:lang w:val="en-US" w:eastAsia="it-IT"/>
        </w:rPr>
        <w:t>l</w:t>
      </w:r>
      <w:r w:rsidR="00917B62" w:rsidRPr="00917B62">
        <w:rPr>
          <w:rFonts w:ascii="Times New Roman" w:hAnsi="Times New Roman" w:cs="Times New Roman"/>
          <w:lang w:val="en-US" w:eastAsia="it-IT"/>
        </w:rPr>
        <w:t>oss of water from HP-β-CD, which is present in high amounts in MixBD-CD and MixIC, could wet the processed powder mixtures, turning them into a paste that is difficult to extrude</w:t>
      </w:r>
      <w:r w:rsidR="00917B62">
        <w:rPr>
          <w:rFonts w:ascii="Times New Roman" w:hAnsi="Times New Roman" w:cs="Times New Roman"/>
          <w:lang w:val="en-US" w:eastAsia="it-IT"/>
        </w:rPr>
        <w:t xml:space="preserve"> </w:t>
      </w:r>
      <w:r w:rsidR="00432BE0" w:rsidRPr="00BB66A8">
        <w:rPr>
          <w:rFonts w:ascii="Times New Roman" w:hAnsi="Times New Roman" w:cs="Times New Roman"/>
          <w:color w:val="000000"/>
        </w:rPr>
        <w:t>(Pistone et al., 2022)</w:t>
      </w:r>
      <w:r w:rsidR="00A2620A" w:rsidRPr="00BB66A8">
        <w:rPr>
          <w:rFonts w:ascii="Times New Roman" w:hAnsi="Times New Roman" w:cs="Times New Roman"/>
          <w:lang w:val="en-US" w:eastAsia="it-IT"/>
        </w:rPr>
        <w:t xml:space="preserve">. </w:t>
      </w:r>
      <w:r w:rsidRPr="00803CAD">
        <w:rPr>
          <w:rFonts w:ascii="Times New Roman" w:hAnsi="Times New Roman" w:cs="Times New Roman"/>
          <w:lang w:val="en-US" w:eastAsia="it-IT"/>
        </w:rPr>
        <w:t>These problems were overcome through the careful selection of other excipients. In particular, HPMC, in a grade with specific thermal properties optimized for the printing process, namely Affinisol HME 15 LV (Takano et al., 2020), and PEG 6000, as an appropriate plasticizer and glycating agent (Alhijjaj et al., 2016), were used, allowing the generation of powder blends with excellent fluidity and low hygroscopicity.</w:t>
      </w:r>
      <w:r>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Only MixIC exhibit</w:t>
      </w:r>
      <w:r w:rsidR="00FE64DB" w:rsidRPr="00BB66A8">
        <w:rPr>
          <w:rFonts w:ascii="Times New Roman" w:hAnsi="Times New Roman" w:cs="Times New Roman"/>
          <w:lang w:val="en-US" w:eastAsia="it-IT"/>
        </w:rPr>
        <w:t>ed</w:t>
      </w:r>
      <w:r w:rsidR="00866E99">
        <w:rPr>
          <w:rFonts w:ascii="Times New Roman" w:hAnsi="Times New Roman" w:cs="Times New Roman"/>
          <w:lang w:val="en-US" w:eastAsia="it-IT"/>
        </w:rPr>
        <w:t xml:space="preserve"> slight </w:t>
      </w:r>
      <w:r w:rsidR="00A2620A" w:rsidRPr="00BB66A8">
        <w:rPr>
          <w:rFonts w:ascii="Times New Roman" w:hAnsi="Times New Roman" w:cs="Times New Roman"/>
          <w:lang w:val="en-US" w:eastAsia="it-IT"/>
        </w:rPr>
        <w:t>extrudability problems</w:t>
      </w:r>
      <w:r w:rsidR="00866E99">
        <w:rPr>
          <w:rFonts w:ascii="Times New Roman" w:hAnsi="Times New Roman" w:cs="Times New Roman"/>
          <w:lang w:val="en-US" w:eastAsia="it-IT"/>
        </w:rPr>
        <w:t>, which</w:t>
      </w:r>
      <w:r w:rsidR="00A2620A" w:rsidRPr="00BB66A8">
        <w:rPr>
          <w:rFonts w:ascii="Times New Roman" w:hAnsi="Times New Roman" w:cs="Times New Roman"/>
          <w:lang w:val="en-US" w:eastAsia="it-IT"/>
        </w:rPr>
        <w:t xml:space="preserve"> required</w:t>
      </w:r>
      <w:r w:rsidR="00866E99">
        <w:rPr>
          <w:rFonts w:ascii="Times New Roman" w:hAnsi="Times New Roman" w:cs="Times New Roman"/>
          <w:lang w:val="en-US" w:eastAsia="it-IT"/>
        </w:rPr>
        <w:t xml:space="preserve"> changing the printing </w:t>
      </w:r>
      <w:r w:rsidR="00A2620A" w:rsidRPr="00BB66A8">
        <w:rPr>
          <w:rFonts w:ascii="Times New Roman" w:hAnsi="Times New Roman" w:cs="Times New Roman"/>
          <w:lang w:val="en-US" w:eastAsia="it-IT"/>
        </w:rPr>
        <w:t>and bed temperatures t</w:t>
      </w:r>
      <w:r w:rsidR="00866E99">
        <w:rPr>
          <w:rFonts w:ascii="Times New Roman" w:hAnsi="Times New Roman" w:cs="Times New Roman"/>
          <w:lang w:val="en-US" w:eastAsia="it-IT"/>
        </w:rPr>
        <w:t>o</w:t>
      </w:r>
      <w:r w:rsidR="00A2620A" w:rsidRPr="00BB66A8">
        <w:rPr>
          <w:rFonts w:ascii="Times New Roman" w:hAnsi="Times New Roman" w:cs="Times New Roman"/>
          <w:lang w:val="en-US" w:eastAsia="it-IT"/>
        </w:rPr>
        <w:t xml:space="preserve"> 1</w:t>
      </w:r>
      <w:r w:rsidR="000223D3" w:rsidRPr="00BB66A8">
        <w:rPr>
          <w:rFonts w:ascii="Times New Roman" w:hAnsi="Times New Roman" w:cs="Times New Roman"/>
          <w:lang w:val="en-US" w:eastAsia="it-IT"/>
        </w:rPr>
        <w:t>90</w:t>
      </w:r>
      <w:r w:rsidR="00BE7B0E">
        <w:rPr>
          <w:rFonts w:ascii="Times New Roman" w:hAnsi="Times New Roman" w:cs="Times New Roman"/>
          <w:lang w:val="en-US" w:eastAsia="it-IT"/>
        </w:rPr>
        <w:t xml:space="preserve"> </w:t>
      </w:r>
      <w:r w:rsidR="00844F2D">
        <w:rPr>
          <w:rFonts w:ascii="Times New Roman" w:hAnsi="Times New Roman" w:cs="Times New Roman"/>
          <w:lang w:val="en-US" w:eastAsia="it-IT"/>
        </w:rPr>
        <w:t>°</w:t>
      </w:r>
      <w:r w:rsidR="00A2620A" w:rsidRPr="00BB66A8">
        <w:rPr>
          <w:rFonts w:ascii="Times New Roman" w:hAnsi="Times New Roman" w:cs="Times New Roman"/>
          <w:lang w:val="en-US" w:eastAsia="it-IT"/>
        </w:rPr>
        <w:t>C and 65</w:t>
      </w:r>
      <w:r w:rsidR="00BE7B0E">
        <w:rPr>
          <w:rFonts w:ascii="Times New Roman" w:hAnsi="Times New Roman" w:cs="Times New Roman"/>
          <w:lang w:val="en-US" w:eastAsia="it-IT"/>
        </w:rPr>
        <w:t xml:space="preserve"> </w:t>
      </w:r>
      <w:r w:rsidR="00844F2D">
        <w:rPr>
          <w:rFonts w:ascii="Times New Roman" w:hAnsi="Times New Roman" w:cs="Times New Roman"/>
          <w:lang w:val="en-US" w:eastAsia="it-IT"/>
        </w:rPr>
        <w:t>°</w:t>
      </w:r>
      <w:r w:rsidR="00A2620A" w:rsidRPr="00BB66A8">
        <w:rPr>
          <w:rFonts w:ascii="Times New Roman" w:hAnsi="Times New Roman" w:cs="Times New Roman"/>
          <w:lang w:val="en-US" w:eastAsia="it-IT"/>
        </w:rPr>
        <w:t>C, respectively.</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This</w:t>
      </w:r>
      <w:r w:rsidR="006D389A">
        <w:rPr>
          <w:rFonts w:ascii="Times New Roman" w:hAnsi="Times New Roman" w:cs="Times New Roman"/>
          <w:lang w:val="en-US" w:eastAsia="it-IT"/>
        </w:rPr>
        <w:t xml:space="preserve"> change</w:t>
      </w:r>
      <w:r w:rsidR="00A2620A" w:rsidRPr="00BB66A8">
        <w:rPr>
          <w:rFonts w:ascii="Times New Roman" w:hAnsi="Times New Roman" w:cs="Times New Roman"/>
          <w:lang w:val="en-US" w:eastAsia="it-IT"/>
        </w:rPr>
        <w:t xml:space="preserve"> was</w:t>
      </w:r>
      <w:r w:rsidR="006D389A">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due to the</w:t>
      </w:r>
      <w:r w:rsidR="006D389A">
        <w:rPr>
          <w:rFonts w:ascii="Times New Roman" w:hAnsi="Times New Roman" w:cs="Times New Roman"/>
          <w:lang w:val="en-US" w:eastAsia="it-IT"/>
        </w:rPr>
        <w:t xml:space="preserve"> presence in</w:t>
      </w:r>
      <w:r w:rsidR="00A2620A" w:rsidRPr="00BB66A8">
        <w:rPr>
          <w:rFonts w:ascii="Times New Roman" w:hAnsi="Times New Roman" w:cs="Times New Roman"/>
          <w:lang w:val="en-US" w:eastAsia="it-IT"/>
        </w:rPr>
        <w:t xml:space="preserve"> MixIC </w:t>
      </w:r>
      <w:r w:rsidR="006D389A">
        <w:rPr>
          <w:rFonts w:ascii="Times New Roman" w:hAnsi="Times New Roman" w:cs="Times New Roman"/>
          <w:lang w:val="en-US" w:eastAsia="it-IT"/>
        </w:rPr>
        <w:t xml:space="preserve">of </w:t>
      </w:r>
      <w:r w:rsidR="00A2620A" w:rsidRPr="00BB66A8">
        <w:rPr>
          <w:rFonts w:ascii="Times New Roman" w:hAnsi="Times New Roman" w:cs="Times New Roman"/>
          <w:lang w:val="en-US" w:eastAsia="it-IT"/>
        </w:rPr>
        <w:t>the IC obtained by FD. Indeed, it</w:t>
      </w:r>
      <w:r w:rsidR="006D389A">
        <w:rPr>
          <w:rFonts w:ascii="Times New Roman" w:hAnsi="Times New Roman" w:cs="Times New Roman"/>
          <w:lang w:val="en-US" w:eastAsia="it-IT"/>
        </w:rPr>
        <w:t xml:space="preserve"> </w:t>
      </w:r>
      <w:r w:rsidR="00003DCB">
        <w:rPr>
          <w:rFonts w:ascii="Times New Roman" w:hAnsi="Times New Roman" w:cs="Times New Roman"/>
          <w:lang w:val="en-US" w:eastAsia="it-IT"/>
        </w:rPr>
        <w:t>has been</w:t>
      </w:r>
      <w:r w:rsidR="00A2620A" w:rsidRPr="00BB66A8">
        <w:rPr>
          <w:rFonts w:ascii="Times New Roman" w:hAnsi="Times New Roman" w:cs="Times New Roman"/>
          <w:lang w:val="en-US" w:eastAsia="it-IT"/>
        </w:rPr>
        <w:t xml:space="preserve"> widely reported in the literature that the FD process involve</w:t>
      </w:r>
      <w:r w:rsidR="006D389A">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the formation of porous </w:t>
      </w:r>
      <w:r w:rsidR="00844F2D" w:rsidRPr="00844F2D">
        <w:rPr>
          <w:rFonts w:ascii="Times New Roman" w:hAnsi="Times New Roman" w:cs="Times New Roman"/>
          <w:lang w:val="en-US" w:eastAsia="it-IT"/>
        </w:rPr>
        <w:t>powders</w:t>
      </w:r>
      <w:r w:rsidR="00A2620A" w:rsidRPr="00BB66A8">
        <w:rPr>
          <w:rFonts w:ascii="Times New Roman" w:hAnsi="Times New Roman" w:cs="Times New Roman"/>
          <w:lang w:val="en-US" w:eastAsia="it-IT"/>
        </w:rPr>
        <w:t xml:space="preserve"> as a result of sublimation of ice crystals under vacuum </w:t>
      </w:r>
      <w:r w:rsidR="00432BE0" w:rsidRPr="00BB66A8">
        <w:rPr>
          <w:rFonts w:ascii="Times New Roman" w:hAnsi="Times New Roman" w:cs="Times New Roman"/>
          <w:color w:val="000000"/>
        </w:rPr>
        <w:t>(Liao et al., 2020)</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w:t>
      </w:r>
      <w:r w:rsidR="00A2620A" w:rsidRPr="00003DCB">
        <w:rPr>
          <w:rFonts w:ascii="Times New Roman" w:hAnsi="Times New Roman" w:cs="Times New Roman"/>
          <w:lang w:val="en-US" w:eastAsia="it-IT"/>
        </w:rPr>
        <w:t>Th</w:t>
      </w:r>
      <w:r w:rsidR="00A2620A" w:rsidRPr="00BB66A8">
        <w:rPr>
          <w:rFonts w:ascii="Times New Roman" w:hAnsi="Times New Roman" w:cs="Times New Roman"/>
          <w:lang w:val="en-US" w:eastAsia="it-IT"/>
        </w:rPr>
        <w:t xml:space="preserve">e porosity of the </w:t>
      </w:r>
      <w:r w:rsidR="00844F2D" w:rsidRPr="00844F2D">
        <w:rPr>
          <w:rFonts w:ascii="Times New Roman" w:hAnsi="Times New Roman" w:cs="Times New Roman"/>
          <w:lang w:val="en-US" w:eastAsia="it-IT"/>
        </w:rPr>
        <w:t>powders</w:t>
      </w:r>
      <w:r w:rsidR="00A2620A" w:rsidRPr="00BB66A8">
        <w:rPr>
          <w:rFonts w:ascii="Times New Roman" w:hAnsi="Times New Roman" w:cs="Times New Roman"/>
          <w:lang w:val="en-US" w:eastAsia="it-IT"/>
        </w:rPr>
        <w:t xml:space="preserve"> induce</w:t>
      </w:r>
      <w:r w:rsidR="00003DCB">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an increase in the contact surface, which in turn le</w:t>
      </w:r>
      <w:r w:rsidR="00003DCB">
        <w:rPr>
          <w:rFonts w:ascii="Times New Roman" w:hAnsi="Times New Roman" w:cs="Times New Roman"/>
          <w:lang w:val="en-US" w:eastAsia="it-IT"/>
        </w:rPr>
        <w:t>a</w:t>
      </w:r>
      <w:r w:rsidR="00A2620A" w:rsidRPr="00BB66A8">
        <w:rPr>
          <w:rFonts w:ascii="Times New Roman" w:hAnsi="Times New Roman" w:cs="Times New Roman"/>
          <w:lang w:val="en-US" w:eastAsia="it-IT"/>
        </w:rPr>
        <w:t>d</w:t>
      </w:r>
      <w:r w:rsidR="00003DCB">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to a reduction in the tendency to slip </w:t>
      </w:r>
      <w:r w:rsidR="00432BE0" w:rsidRPr="00BB66A8">
        <w:rPr>
          <w:rFonts w:ascii="Times New Roman" w:hAnsi="Times New Roman" w:cs="Times New Roman"/>
          <w:color w:val="000000"/>
        </w:rPr>
        <w:t>(Liu et al., 2020)</w:t>
      </w:r>
      <w:r w:rsidR="00A2620A" w:rsidRPr="00BB66A8">
        <w:rPr>
          <w:rFonts w:ascii="Times New Roman" w:hAnsi="Times New Roman" w:cs="Times New Roman"/>
          <w:lang w:val="en-US" w:eastAsia="it-IT"/>
        </w:rPr>
        <w:t xml:space="preserve">. </w:t>
      </w:r>
      <w:r w:rsidR="00003DCB">
        <w:rPr>
          <w:rFonts w:ascii="Times New Roman" w:hAnsi="Times New Roman" w:cs="Times New Roman"/>
          <w:lang w:val="en-US" w:eastAsia="it-IT"/>
        </w:rPr>
        <w:t>For this reason</w:t>
      </w:r>
      <w:r w:rsidR="00A2620A" w:rsidRPr="00BB66A8">
        <w:rPr>
          <w:rFonts w:ascii="Times New Roman" w:hAnsi="Times New Roman" w:cs="Times New Roman"/>
          <w:lang w:val="en-US" w:eastAsia="it-IT"/>
        </w:rPr>
        <w:t xml:space="preserve">, the fluidity of MixIC inside the 3D ForMe's extruder reduced compared to other blends, and consequently, its extrusion required slight temperature adjustments to allow its respective MT to print. </w:t>
      </w:r>
      <w:r w:rsidR="001E5FFD" w:rsidRPr="001E5FFD">
        <w:rPr>
          <w:rFonts w:ascii="Times New Roman" w:hAnsi="Times New Roman" w:cs="Times New Roman"/>
          <w:lang w:val="en-US" w:eastAsia="it-IT"/>
        </w:rPr>
        <w:t>The time needed to print a single MT was about three minutes, thus in one hour, it was possible to print a consistent number of MTs for patient therapy.</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The printed MT</w:t>
      </w:r>
      <w:r w:rsidR="00241C9C" w:rsidRPr="00BB66A8">
        <w:rPr>
          <w:rFonts w:ascii="Times New Roman" w:hAnsi="Times New Roman" w:cs="Times New Roman"/>
          <w:lang w:val="en-US" w:eastAsia="it-IT"/>
        </w:rPr>
        <w:t>s</w:t>
      </w:r>
      <w:r w:rsidR="000223D3" w:rsidRPr="00BB66A8">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loaded with BD </w:t>
      </w:r>
      <w:r w:rsidR="00175201" w:rsidRPr="00BB66A8">
        <w:rPr>
          <w:rFonts w:ascii="Times New Roman" w:hAnsi="Times New Roman" w:cs="Times New Roman"/>
          <w:lang w:val="en-US" w:eastAsia="it-IT"/>
        </w:rPr>
        <w:t>and relative to the three formulations (</w:t>
      </w:r>
      <w:r w:rsidR="00003DCB">
        <w:rPr>
          <w:rFonts w:ascii="Times New Roman" w:hAnsi="Times New Roman" w:cs="Times New Roman"/>
          <w:lang w:val="en-US" w:eastAsia="it-IT"/>
        </w:rPr>
        <w:t xml:space="preserve">here in after </w:t>
      </w:r>
      <w:r w:rsidR="00175201" w:rsidRPr="00BB66A8">
        <w:rPr>
          <w:rFonts w:ascii="Times New Roman" w:hAnsi="Times New Roman" w:cs="Times New Roman"/>
          <w:lang w:val="en-US" w:eastAsia="it-IT"/>
        </w:rPr>
        <w:t>MT1, MT2</w:t>
      </w:r>
      <w:r w:rsidR="00003DCB">
        <w:rPr>
          <w:rFonts w:ascii="Times New Roman" w:hAnsi="Times New Roman" w:cs="Times New Roman"/>
          <w:lang w:val="en-US" w:eastAsia="it-IT"/>
        </w:rPr>
        <w:t>,</w:t>
      </w:r>
      <w:r w:rsidR="00175201" w:rsidRPr="00BB66A8">
        <w:rPr>
          <w:rFonts w:ascii="Times New Roman" w:hAnsi="Times New Roman" w:cs="Times New Roman"/>
          <w:lang w:val="en-US" w:eastAsia="it-IT"/>
        </w:rPr>
        <w:t xml:space="preserve"> and MT3), </w:t>
      </w:r>
      <w:r w:rsidR="00A2620A" w:rsidRPr="00BB66A8">
        <w:rPr>
          <w:rFonts w:ascii="Times New Roman" w:hAnsi="Times New Roman" w:cs="Times New Roman"/>
          <w:lang w:val="en-US" w:eastAsia="it-IT"/>
        </w:rPr>
        <w:t xml:space="preserve">were of a </w:t>
      </w:r>
      <w:r w:rsidR="00B24C1E" w:rsidRPr="00BB66A8">
        <w:rPr>
          <w:rFonts w:ascii="Times New Roman" w:hAnsi="Times New Roman" w:cs="Times New Roman"/>
          <w:lang w:val="en-US" w:eastAsia="it-IT"/>
        </w:rPr>
        <w:t>pale-yellow</w:t>
      </w:r>
      <w:r w:rsidR="00A2620A" w:rsidRPr="00BB66A8">
        <w:rPr>
          <w:rFonts w:ascii="Times New Roman" w:hAnsi="Times New Roman" w:cs="Times New Roman"/>
          <w:lang w:val="en-US" w:eastAsia="it-IT"/>
        </w:rPr>
        <w:t xml:space="preserve"> color and well defined </w:t>
      </w:r>
      <w:r w:rsidR="00175201" w:rsidRPr="00BB66A8">
        <w:rPr>
          <w:rFonts w:ascii="Times New Roman" w:hAnsi="Times New Roman" w:cs="Times New Roman"/>
          <w:lang w:val="en-US" w:eastAsia="it-IT"/>
        </w:rPr>
        <w:t xml:space="preserve">shape </w:t>
      </w:r>
      <w:r w:rsidR="00A2620A" w:rsidRPr="00BB66A8">
        <w:rPr>
          <w:rFonts w:ascii="Times New Roman" w:hAnsi="Times New Roman" w:cs="Times New Roman"/>
          <w:lang w:val="en-US" w:eastAsia="it-IT"/>
        </w:rPr>
        <w:t>due to the high adhesion between layers, as shown in Fig</w:t>
      </w:r>
      <w:r w:rsidR="00BE7B0E">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2. </w:t>
      </w:r>
    </w:p>
    <w:p w14:paraId="24DB3800" w14:textId="733DEEBD" w:rsidR="00A2620A" w:rsidRDefault="001E5FFD" w:rsidP="00915DCF">
      <w:pPr>
        <w:rPr>
          <w:rFonts w:ascii="Times New Roman" w:hAnsi="Times New Roman" w:cs="Times New Roman"/>
          <w:lang w:val="en-US" w:eastAsia="it-IT"/>
        </w:rPr>
      </w:pPr>
      <w:r>
        <w:rPr>
          <w:rFonts w:ascii="Times New Roman" w:hAnsi="Times New Roman" w:cs="Times New Roman"/>
          <w:lang w:val="en-US" w:eastAsia="it-IT"/>
        </w:rPr>
        <w:t>DPE,</w:t>
      </w:r>
      <w:r w:rsidR="00A2620A" w:rsidRPr="00BB66A8">
        <w:rPr>
          <w:rFonts w:ascii="Times New Roman" w:hAnsi="Times New Roman" w:cs="Times New Roman"/>
          <w:lang w:val="en-US" w:eastAsia="it-IT"/>
        </w:rPr>
        <w:t xml:space="preserve"> the most innovative 3D printing technique, appear</w:t>
      </w:r>
      <w:r>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more efficient in terms of dosing flexibility, time, and number of steps than the other conventional techniques applied for the development of MT</w:t>
      </w:r>
      <w:r w:rsidR="008202AD" w:rsidRPr="00BB66A8">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for paediatric use </w:t>
      </w:r>
      <w:r w:rsidR="00432BE0" w:rsidRPr="00BB66A8">
        <w:rPr>
          <w:rFonts w:ascii="Times New Roman" w:hAnsi="Times New Roman" w:cs="Times New Roman"/>
          <w:color w:val="000000"/>
        </w:rPr>
        <w:t>(Lafeber et al., 2022)</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In</w:t>
      </w:r>
      <w:r>
        <w:rPr>
          <w:rFonts w:ascii="Times New Roman" w:hAnsi="Times New Roman" w:cs="Times New Roman"/>
        </w:rPr>
        <w:t>deed</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 xml:space="preserve">several </w:t>
      </w:r>
      <w:r>
        <w:rPr>
          <w:rFonts w:ascii="Times New Roman" w:hAnsi="Times New Roman" w:cs="Times New Roman"/>
          <w:lang w:val="en-US" w:eastAsia="it-IT"/>
        </w:rPr>
        <w:t xml:space="preserve">other </w:t>
      </w:r>
      <w:r w:rsidR="00A2620A" w:rsidRPr="00BB66A8">
        <w:rPr>
          <w:rFonts w:ascii="Times New Roman" w:hAnsi="Times New Roman" w:cs="Times New Roman"/>
          <w:lang w:val="en-US" w:eastAsia="it-IT"/>
        </w:rPr>
        <w:t xml:space="preserve">approaches </w:t>
      </w:r>
      <w:r w:rsidR="00972618">
        <w:rPr>
          <w:rFonts w:ascii="Times New Roman" w:hAnsi="Times New Roman" w:cs="Times New Roman"/>
          <w:lang w:val="en-US" w:eastAsia="it-IT"/>
        </w:rPr>
        <w:t>are</w:t>
      </w:r>
      <w:r w:rsidR="00A2620A" w:rsidRPr="00BB66A8">
        <w:rPr>
          <w:rFonts w:ascii="Times New Roman" w:hAnsi="Times New Roman" w:cs="Times New Roman"/>
          <w:lang w:val="en-US" w:eastAsia="it-IT"/>
        </w:rPr>
        <w:t xml:space="preserve"> reported in the literature, including Direct Compression (DC) and Electrospinning Technique (ET). While the DC method result</w:t>
      </w:r>
      <w:r w:rsidR="00972618">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w:t>
      </w:r>
      <w:r w:rsidR="00A2620A" w:rsidRPr="00003DCB">
        <w:rPr>
          <w:rFonts w:ascii="Times New Roman" w:hAnsi="Times New Roman" w:cs="Times New Roman"/>
          <w:lang w:val="en-US" w:eastAsia="it-IT"/>
        </w:rPr>
        <w:t xml:space="preserve">practical and fast </w:t>
      </w:r>
      <w:r w:rsidR="00241C9C" w:rsidRPr="00003DCB">
        <w:rPr>
          <w:rFonts w:ascii="Times New Roman" w:hAnsi="Times New Roman" w:cs="Times New Roman"/>
          <w:lang w:val="en-US" w:eastAsia="it-IT"/>
        </w:rPr>
        <w:t xml:space="preserve">for </w:t>
      </w:r>
      <w:r w:rsidR="00A2620A" w:rsidRPr="00003DCB">
        <w:rPr>
          <w:rFonts w:ascii="Times New Roman" w:hAnsi="Times New Roman" w:cs="Times New Roman"/>
          <w:lang w:val="en-US" w:eastAsia="it-IT"/>
        </w:rPr>
        <w:t>production, it present</w:t>
      </w:r>
      <w:r w:rsidR="00972618" w:rsidRPr="00003DCB">
        <w:rPr>
          <w:rFonts w:ascii="Times New Roman" w:hAnsi="Times New Roman" w:cs="Times New Roman"/>
          <w:lang w:val="en-US" w:eastAsia="it-IT"/>
        </w:rPr>
        <w:t>s</w:t>
      </w:r>
      <w:r w:rsidR="00A2620A" w:rsidRPr="00003DCB">
        <w:rPr>
          <w:rFonts w:ascii="Times New Roman" w:hAnsi="Times New Roman" w:cs="Times New Roman"/>
          <w:lang w:val="en-US" w:eastAsia="it-IT"/>
        </w:rPr>
        <w:t xml:space="preserve"> a major limitation in the dosage selection of active ingredients. In fact, large percentages of poorly compressible actives d</w:t>
      </w:r>
      <w:r w:rsidR="00003DCB">
        <w:rPr>
          <w:rFonts w:ascii="Times New Roman" w:hAnsi="Times New Roman" w:cs="Times New Roman"/>
          <w:lang w:val="en-US" w:eastAsia="it-IT"/>
        </w:rPr>
        <w:t>o</w:t>
      </w:r>
      <w:r w:rsidR="00A2620A" w:rsidRPr="00003DCB">
        <w:rPr>
          <w:rFonts w:ascii="Times New Roman" w:hAnsi="Times New Roman" w:cs="Times New Roman"/>
          <w:lang w:val="en-US" w:eastAsia="it-IT"/>
        </w:rPr>
        <w:t xml:space="preserve"> not provide tablets with acceptable hardness, and low amounts of actives d</w:t>
      </w:r>
      <w:r w:rsidR="00127A4E">
        <w:rPr>
          <w:rFonts w:ascii="Times New Roman" w:hAnsi="Times New Roman" w:cs="Times New Roman"/>
          <w:lang w:val="en-US" w:eastAsia="it-IT"/>
        </w:rPr>
        <w:t>o</w:t>
      </w:r>
      <w:r w:rsidR="00A2620A" w:rsidRPr="00003DCB">
        <w:rPr>
          <w:rFonts w:ascii="Times New Roman" w:hAnsi="Times New Roman" w:cs="Times New Roman"/>
          <w:lang w:val="en-US" w:eastAsia="it-IT"/>
        </w:rPr>
        <w:t xml:space="preserve"> not provide adequate homogeneity of the mixture </w:t>
      </w:r>
      <w:r w:rsidR="00432BE0" w:rsidRPr="00003DCB">
        <w:rPr>
          <w:rFonts w:ascii="Times New Roman" w:hAnsi="Times New Roman" w:cs="Times New Roman"/>
          <w:color w:val="000000"/>
        </w:rPr>
        <w:t>(Zhao et al., 2018; Zuccari et al., 2022)</w:t>
      </w:r>
      <w:r w:rsidR="00A2620A" w:rsidRPr="00003DCB">
        <w:rPr>
          <w:rFonts w:ascii="Times New Roman" w:hAnsi="Times New Roman" w:cs="Times New Roman"/>
          <w:lang w:val="en-US" w:eastAsia="it-IT"/>
        </w:rPr>
        <w:t>. In contrast, the ET present</w:t>
      </w:r>
      <w:r w:rsidR="00127A4E">
        <w:rPr>
          <w:rFonts w:ascii="Times New Roman" w:hAnsi="Times New Roman" w:cs="Times New Roman"/>
          <w:lang w:val="en-US" w:eastAsia="it-IT"/>
        </w:rPr>
        <w:t>s the</w:t>
      </w:r>
      <w:r w:rsidR="00A2620A" w:rsidRPr="00003DCB">
        <w:rPr>
          <w:rFonts w:ascii="Times New Roman" w:hAnsi="Times New Roman" w:cs="Times New Roman"/>
          <w:lang w:val="en-US" w:eastAsia="it-IT"/>
        </w:rPr>
        <w:t xml:space="preserve"> process scalability as a major limiting factor due to the high production time, despite allowing the production of nanofibres customised in diameter (nm, µm) and release, characteristics re</w:t>
      </w:r>
      <w:r w:rsidR="00127A4E">
        <w:rPr>
          <w:rFonts w:ascii="Times New Roman" w:hAnsi="Times New Roman" w:cs="Times New Roman"/>
          <w:lang w:val="en-US" w:eastAsia="it-IT"/>
        </w:rPr>
        <w:t>quested</w:t>
      </w:r>
      <w:r w:rsidR="00A2620A" w:rsidRPr="00003DCB">
        <w:rPr>
          <w:rFonts w:ascii="Times New Roman" w:hAnsi="Times New Roman" w:cs="Times New Roman"/>
          <w:lang w:val="en-US" w:eastAsia="it-IT"/>
        </w:rPr>
        <w:t xml:space="preserve"> in</w:t>
      </w:r>
      <w:r w:rsidR="00A2620A" w:rsidRPr="00BB66A8">
        <w:rPr>
          <w:rFonts w:ascii="Times New Roman" w:hAnsi="Times New Roman" w:cs="Times New Roman"/>
          <w:lang w:val="en-US" w:eastAsia="it-IT"/>
        </w:rPr>
        <w:t xml:space="preserve"> paediatric drug design </w:t>
      </w:r>
      <w:r w:rsidR="00432BE0" w:rsidRPr="00BB66A8">
        <w:rPr>
          <w:rFonts w:ascii="Times New Roman" w:hAnsi="Times New Roman" w:cs="Times New Roman"/>
          <w:color w:val="000000"/>
        </w:rPr>
        <w:t>(El-Say et al., 2015; Poller et al., 2017)</w:t>
      </w:r>
      <w:r w:rsidR="00A2620A" w:rsidRPr="00BB66A8">
        <w:rPr>
          <w:rFonts w:ascii="Times New Roman" w:hAnsi="Times New Roman" w:cs="Times New Roman"/>
          <w:lang w:val="en-US" w:eastAsia="it-IT"/>
        </w:rPr>
        <w:t>. Moreover, DPE overc</w:t>
      </w:r>
      <w:r w:rsidR="00127A4E">
        <w:rPr>
          <w:rFonts w:ascii="Times New Roman" w:hAnsi="Times New Roman" w:cs="Times New Roman"/>
          <w:lang w:val="en-US" w:eastAsia="it-IT"/>
        </w:rPr>
        <w:t>omes</w:t>
      </w:r>
      <w:r w:rsidR="00A2620A" w:rsidRPr="00BB66A8">
        <w:rPr>
          <w:rFonts w:ascii="Times New Roman" w:hAnsi="Times New Roman" w:cs="Times New Roman"/>
          <w:lang w:val="en-US" w:eastAsia="it-IT"/>
        </w:rPr>
        <w:t xml:space="preserve"> the limitations associated with other most commonly used 3D printing techniques, such as FDM</w:t>
      </w:r>
      <w:r w:rsidR="00A2620A" w:rsidRPr="00BB66A8">
        <w:rPr>
          <w:rFonts w:ascii="Times New Roman" w:hAnsi="Times New Roman" w:cs="Times New Roman"/>
          <w:lang w:eastAsia="it-IT"/>
        </w:rPr>
        <w:t xml:space="preserve"> </w:t>
      </w:r>
      <w:r w:rsidR="00432BE0" w:rsidRPr="00BB66A8">
        <w:rPr>
          <w:rFonts w:ascii="Times New Roman" w:hAnsi="Times New Roman" w:cs="Times New Roman"/>
          <w:color w:val="000000"/>
        </w:rPr>
        <w:t>(Boniatti et al., 2021; Pistone et al., 2022)</w:t>
      </w:r>
      <w:r w:rsidR="00A2620A" w:rsidRPr="00BB66A8">
        <w:rPr>
          <w:rFonts w:ascii="Times New Roman" w:hAnsi="Times New Roman" w:cs="Times New Roman"/>
          <w:lang w:eastAsia="it-IT"/>
        </w:rPr>
        <w:t>.</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In fact, the elimination of the intermediate H</w:t>
      </w:r>
      <w:r w:rsidR="008167ED" w:rsidRPr="00BB66A8">
        <w:rPr>
          <w:rFonts w:ascii="Times New Roman" w:hAnsi="Times New Roman" w:cs="Times New Roman"/>
          <w:lang w:val="en-US" w:eastAsia="it-IT"/>
        </w:rPr>
        <w:t xml:space="preserve">ot </w:t>
      </w:r>
      <w:r w:rsidR="00A2620A" w:rsidRPr="00BB66A8">
        <w:rPr>
          <w:rFonts w:ascii="Times New Roman" w:hAnsi="Times New Roman" w:cs="Times New Roman"/>
          <w:lang w:val="en-US" w:eastAsia="it-IT"/>
        </w:rPr>
        <w:t>M</w:t>
      </w:r>
      <w:r w:rsidR="008167ED" w:rsidRPr="00BB66A8">
        <w:rPr>
          <w:rFonts w:ascii="Times New Roman" w:hAnsi="Times New Roman" w:cs="Times New Roman"/>
          <w:lang w:val="en-US" w:eastAsia="it-IT"/>
        </w:rPr>
        <w:t xml:space="preserve">elt </w:t>
      </w:r>
      <w:r w:rsidR="00A2620A" w:rsidRPr="00BB66A8">
        <w:rPr>
          <w:rFonts w:ascii="Times New Roman" w:hAnsi="Times New Roman" w:cs="Times New Roman"/>
          <w:lang w:val="en-US" w:eastAsia="it-IT"/>
        </w:rPr>
        <w:t>E</w:t>
      </w:r>
      <w:r w:rsidR="008167ED" w:rsidRPr="00BB66A8">
        <w:rPr>
          <w:rFonts w:ascii="Times New Roman" w:hAnsi="Times New Roman" w:cs="Times New Roman"/>
          <w:lang w:val="en-US" w:eastAsia="it-IT"/>
        </w:rPr>
        <w:t>xtrusion (HME)</w:t>
      </w:r>
      <w:r w:rsidR="00A2620A" w:rsidRPr="00BB66A8">
        <w:rPr>
          <w:rFonts w:ascii="Times New Roman" w:hAnsi="Times New Roman" w:cs="Times New Roman"/>
          <w:lang w:val="en-US" w:eastAsia="it-IT"/>
        </w:rPr>
        <w:t xml:space="preserve"> filament production required by the FDM technique</w:t>
      </w:r>
      <w:r w:rsidR="00127A4E">
        <w:rPr>
          <w:rFonts w:ascii="Times New Roman" w:hAnsi="Times New Roman" w:cs="Times New Roman"/>
          <w:lang w:val="en-US" w:eastAsia="it-IT"/>
        </w:rPr>
        <w:t>, allows</w:t>
      </w:r>
      <w:r w:rsidR="00A2620A" w:rsidRPr="00BB66A8">
        <w:rPr>
          <w:rFonts w:ascii="Times New Roman" w:hAnsi="Times New Roman" w:cs="Times New Roman"/>
          <w:lang w:val="en-US" w:eastAsia="it-IT"/>
        </w:rPr>
        <w:t xml:space="preserve"> DPE to expand the selection of excipients and active ingredients and speed up the process </w:t>
      </w:r>
      <w:r w:rsidR="00432BE0" w:rsidRPr="00BB66A8">
        <w:rPr>
          <w:rFonts w:ascii="Times New Roman" w:hAnsi="Times New Roman" w:cs="Times New Roman"/>
          <w:color w:val="000000"/>
        </w:rPr>
        <w:t>(Pistone et al., 2022)</w:t>
      </w:r>
      <w:r w:rsidR="00A2620A" w:rsidRPr="00BB66A8">
        <w:rPr>
          <w:rFonts w:ascii="Times New Roman" w:hAnsi="Times New Roman" w:cs="Times New Roman"/>
          <w:lang w:val="en-US" w:eastAsia="it-IT"/>
        </w:rPr>
        <w:t>. The</w:t>
      </w:r>
      <w:r w:rsidR="00127A4E">
        <w:rPr>
          <w:rFonts w:ascii="Times New Roman" w:hAnsi="Times New Roman" w:cs="Times New Roman"/>
          <w:lang w:val="en-US" w:eastAsia="it-IT"/>
        </w:rPr>
        <w:t xml:space="preserve">se </w:t>
      </w:r>
      <w:r w:rsidR="00A2620A" w:rsidRPr="00BB66A8">
        <w:rPr>
          <w:rFonts w:ascii="Times New Roman" w:hAnsi="Times New Roman" w:cs="Times New Roman"/>
          <w:lang w:val="en-US" w:eastAsia="it-IT"/>
        </w:rPr>
        <w:t>advantages facilitate the application of DPE in daily galenic practice to achieve patient-centered therapies.</w:t>
      </w:r>
    </w:p>
    <w:p w14:paraId="08063FC0" w14:textId="77777777" w:rsidR="00755214" w:rsidRPr="00BB66A8" w:rsidRDefault="00755214" w:rsidP="00915DCF">
      <w:pPr>
        <w:rPr>
          <w:rFonts w:ascii="Times New Roman" w:hAnsi="Times New Roman" w:cs="Times New Roman"/>
          <w:lang w:val="en-US" w:eastAsia="it-IT"/>
        </w:rPr>
      </w:pPr>
    </w:p>
    <w:p w14:paraId="6CDDAA03" w14:textId="1B5B2DEA" w:rsidR="00755214" w:rsidRPr="00755214" w:rsidRDefault="00755214" w:rsidP="00755214">
      <w:pPr>
        <w:jc w:val="center"/>
        <w:rPr>
          <w:rFonts w:ascii="Times New Roman" w:hAnsi="Times New Roman" w:cs="Times New Roman"/>
          <w:b/>
          <w:bCs/>
          <w:lang w:val="en-US" w:eastAsia="it-IT"/>
        </w:rPr>
      </w:pPr>
      <w:r w:rsidRPr="00755214">
        <w:rPr>
          <w:rFonts w:ascii="Times New Roman" w:hAnsi="Times New Roman" w:cs="Times New Roman"/>
          <w:b/>
          <w:bCs/>
          <w:noProof/>
          <w:lang w:val="it-IT" w:eastAsia="it-IT"/>
        </w:rPr>
        <w:t xml:space="preserve">&lt;&lt; </w:t>
      </w:r>
      <w:r>
        <w:rPr>
          <w:rFonts w:ascii="Times New Roman" w:hAnsi="Times New Roman" w:cs="Times New Roman"/>
          <w:b/>
          <w:bCs/>
          <w:noProof/>
          <w:lang w:val="it-IT" w:eastAsia="it-IT"/>
        </w:rPr>
        <w:t>I</w:t>
      </w:r>
      <w:r w:rsidRPr="00755214">
        <w:rPr>
          <w:rFonts w:ascii="Times New Roman" w:hAnsi="Times New Roman" w:cs="Times New Roman"/>
          <w:b/>
          <w:bCs/>
          <w:noProof/>
          <w:lang w:val="it-IT" w:eastAsia="it-IT"/>
        </w:rPr>
        <w:t xml:space="preserve">nsert Fig. </w:t>
      </w:r>
      <w:r>
        <w:rPr>
          <w:rFonts w:ascii="Times New Roman" w:hAnsi="Times New Roman" w:cs="Times New Roman"/>
          <w:b/>
          <w:bCs/>
          <w:noProof/>
          <w:lang w:val="it-IT" w:eastAsia="it-IT"/>
        </w:rPr>
        <w:t>2</w:t>
      </w:r>
      <w:r w:rsidRPr="00755214">
        <w:rPr>
          <w:rFonts w:ascii="Times New Roman" w:hAnsi="Times New Roman" w:cs="Times New Roman"/>
          <w:b/>
          <w:bCs/>
          <w:noProof/>
          <w:lang w:val="it-IT" w:eastAsia="it-IT"/>
        </w:rPr>
        <w:t>&gt;&gt;</w:t>
      </w:r>
    </w:p>
    <w:p w14:paraId="79C1A91A" w14:textId="4969B535" w:rsidR="00DC1CA2" w:rsidRPr="00BB66A8" w:rsidRDefault="00DC1CA2" w:rsidP="00A23A55">
      <w:pPr>
        <w:jc w:val="center"/>
        <w:rPr>
          <w:rFonts w:ascii="Times New Roman" w:hAnsi="Times New Roman" w:cs="Times New Roman"/>
          <w:b/>
          <w:bCs/>
          <w:lang w:val="en-US" w:eastAsia="it-IT"/>
        </w:rPr>
      </w:pPr>
    </w:p>
    <w:p w14:paraId="0C6B5E24" w14:textId="77777777" w:rsidR="00A2620A" w:rsidRPr="00BB66A8" w:rsidRDefault="00A2620A" w:rsidP="000838E4">
      <w:pPr>
        <w:pStyle w:val="Titolo3"/>
        <w:rPr>
          <w:rFonts w:ascii="Times New Roman" w:hAnsi="Times New Roman" w:cs="Times New Roman"/>
        </w:rPr>
      </w:pPr>
      <w:r w:rsidRPr="00BB66A8">
        <w:rPr>
          <w:rFonts w:ascii="Times New Roman" w:hAnsi="Times New Roman" w:cs="Times New Roman"/>
        </w:rPr>
        <w:t>Characterization of 3D Mini-Tablets</w:t>
      </w:r>
    </w:p>
    <w:p w14:paraId="13E815FE" w14:textId="37752B29" w:rsidR="002E36FD" w:rsidRDefault="00A2620A" w:rsidP="001A73BF">
      <w:pPr>
        <w:rPr>
          <w:rFonts w:ascii="Times New Roman" w:hAnsi="Times New Roman" w:cs="Times New Roman"/>
          <w:lang w:val="en-US" w:eastAsia="it-IT"/>
        </w:rPr>
      </w:pPr>
      <w:r w:rsidRPr="00BB66A8">
        <w:rPr>
          <w:rFonts w:ascii="Times New Roman" w:hAnsi="Times New Roman" w:cs="Times New Roman"/>
          <w:lang w:val="en-US" w:eastAsia="it-IT"/>
        </w:rPr>
        <w:t>The values of weight, drug content, friability, breaking force, and dimensions of the three different printed MT</w:t>
      </w:r>
      <w:r w:rsidR="00C11542" w:rsidRPr="00BB66A8">
        <w:rPr>
          <w:rFonts w:ascii="Times New Roman" w:hAnsi="Times New Roman" w:cs="Times New Roman"/>
          <w:lang w:val="en-US" w:eastAsia="it-IT"/>
        </w:rPr>
        <w:t>s</w:t>
      </w:r>
      <w:r w:rsidRPr="00BB66A8">
        <w:rPr>
          <w:rFonts w:ascii="Times New Roman" w:hAnsi="Times New Roman" w:cs="Times New Roman"/>
          <w:lang w:val="en-US" w:eastAsia="it-IT"/>
        </w:rPr>
        <w:t xml:space="preserve"> formulations were given in Table 3. As reported in the literature, the accuracy of the DPE printing process result</w:t>
      </w:r>
      <w:r w:rsidR="00127A4E">
        <w:rPr>
          <w:rFonts w:ascii="Times New Roman" w:hAnsi="Times New Roman" w:cs="Times New Roman"/>
          <w:lang w:val="en-US" w:eastAsia="it-IT"/>
        </w:rPr>
        <w:t>s</w:t>
      </w:r>
      <w:r w:rsidRPr="00BB66A8">
        <w:rPr>
          <w:rFonts w:ascii="Times New Roman" w:hAnsi="Times New Roman" w:cs="Times New Roman"/>
          <w:lang w:val="en-US" w:eastAsia="it-IT"/>
        </w:rPr>
        <w:t xml:space="preserve"> in MT with high dimensional reproducibility of the CAD design</w:t>
      </w:r>
      <w:r w:rsidRPr="00BB66A8" w:rsidDel="00EE6CEF">
        <w:rPr>
          <w:rFonts w:ascii="Times New Roman" w:hAnsi="Times New Roman" w:cs="Times New Roman"/>
          <w:lang w:val="en-US" w:eastAsia="it-IT"/>
        </w:rPr>
        <w:t xml:space="preserve"> </w:t>
      </w:r>
      <w:r w:rsidR="00432BE0" w:rsidRPr="00BB66A8">
        <w:rPr>
          <w:rFonts w:ascii="Times New Roman" w:hAnsi="Times New Roman" w:cs="Times New Roman"/>
          <w:color w:val="000000"/>
        </w:rPr>
        <w:t xml:space="preserve">(Pistone et al., 2022; </w:t>
      </w:r>
      <w:r w:rsidR="00432BE0" w:rsidRPr="00BB66A8">
        <w:rPr>
          <w:rFonts w:ascii="Times New Roman" w:hAnsi="Times New Roman" w:cs="Times New Roman"/>
          <w:color w:val="000000"/>
        </w:rPr>
        <w:lastRenderedPageBreak/>
        <w:t>Sánchez-Guirales et al., 2021)</w:t>
      </w:r>
      <w:r w:rsidR="008167ED" w:rsidRPr="00BB66A8">
        <w:rPr>
          <w:rFonts w:ascii="Times New Roman" w:hAnsi="Times New Roman" w:cs="Times New Roman"/>
          <w:color w:val="auto"/>
          <w:lang w:val="en-US" w:eastAsia="it-IT"/>
        </w:rPr>
        <w:t>.</w:t>
      </w:r>
      <w:r w:rsidRPr="00BB66A8">
        <w:rPr>
          <w:rFonts w:ascii="Times New Roman" w:hAnsi="Times New Roman" w:cs="Times New Roman"/>
          <w:lang w:val="en-US" w:eastAsia="it-IT"/>
        </w:rPr>
        <w:t xml:space="preserve"> In fact, the average di</w:t>
      </w:r>
      <w:r w:rsidR="00C11542" w:rsidRPr="00BB66A8">
        <w:rPr>
          <w:rFonts w:ascii="Times New Roman" w:hAnsi="Times New Roman" w:cs="Times New Roman"/>
          <w:lang w:val="en-US" w:eastAsia="it-IT"/>
        </w:rPr>
        <w:t>a</w:t>
      </w:r>
      <w:r w:rsidRPr="00BB66A8">
        <w:rPr>
          <w:rFonts w:ascii="Times New Roman" w:hAnsi="Times New Roman" w:cs="Times New Roman"/>
          <w:lang w:val="en-US" w:eastAsia="it-IT"/>
        </w:rPr>
        <w:t xml:space="preserve">meter of printed MT was between </w:t>
      </w:r>
      <w:r w:rsidR="00373DE1" w:rsidRPr="00BB66A8">
        <w:rPr>
          <w:rFonts w:ascii="Times New Roman" w:hAnsi="Times New Roman" w:cs="Times New Roman"/>
          <w:lang w:val="en-US" w:eastAsia="it-IT"/>
        </w:rPr>
        <w:t>5</w:t>
      </w:r>
      <w:r w:rsidRPr="00BB66A8">
        <w:rPr>
          <w:rFonts w:ascii="Times New Roman" w:hAnsi="Times New Roman" w:cs="Times New Roman"/>
          <w:lang w:val="en-US" w:eastAsia="it-IT"/>
        </w:rPr>
        <w:t xml:space="preserve">.17 mm and </w:t>
      </w:r>
      <w:r w:rsidR="00373DE1" w:rsidRPr="00BB66A8">
        <w:rPr>
          <w:rFonts w:ascii="Times New Roman" w:hAnsi="Times New Roman" w:cs="Times New Roman"/>
          <w:lang w:val="en-US" w:eastAsia="it-IT"/>
        </w:rPr>
        <w:t>5</w:t>
      </w:r>
      <w:r w:rsidRPr="00BB66A8">
        <w:rPr>
          <w:rFonts w:ascii="Times New Roman" w:hAnsi="Times New Roman" w:cs="Times New Roman"/>
          <w:lang w:val="en-US" w:eastAsia="it-IT"/>
        </w:rPr>
        <w:t xml:space="preserve">.52 mm (G-code set at </w:t>
      </w:r>
      <w:r w:rsidR="00373DE1" w:rsidRPr="00BB66A8">
        <w:rPr>
          <w:rFonts w:ascii="Times New Roman" w:hAnsi="Times New Roman" w:cs="Times New Roman"/>
          <w:lang w:val="en-US" w:eastAsia="it-IT"/>
        </w:rPr>
        <w:t>5</w:t>
      </w:r>
      <w:r w:rsidRPr="00BB66A8">
        <w:rPr>
          <w:rFonts w:ascii="Times New Roman" w:hAnsi="Times New Roman" w:cs="Times New Roman"/>
          <w:lang w:val="en-US" w:eastAsia="it-IT"/>
        </w:rPr>
        <w:t xml:space="preserve"> mm) and the average height ranged from 3.76 mm to 4.14 mm (G-code set at 4 mm). </w:t>
      </w:r>
      <w:r w:rsidR="00C11542" w:rsidRPr="00BB66A8">
        <w:rPr>
          <w:rFonts w:ascii="Times New Roman" w:hAnsi="Times New Roman" w:cs="Times New Roman"/>
          <w:lang w:val="en-US" w:eastAsia="it-IT"/>
        </w:rPr>
        <w:t>A h</w:t>
      </w:r>
      <w:r w:rsidRPr="00BB66A8">
        <w:rPr>
          <w:rFonts w:ascii="Times New Roman" w:hAnsi="Times New Roman" w:cs="Times New Roman"/>
          <w:lang w:val="en-US" w:eastAsia="it-IT"/>
        </w:rPr>
        <w:t>igh level of repeatability of the DPE process was also confirmed by the low variation in weight of the three different MT</w:t>
      </w:r>
      <w:r w:rsidR="00C11542" w:rsidRPr="00BB66A8">
        <w:rPr>
          <w:rFonts w:ascii="Times New Roman" w:hAnsi="Times New Roman" w:cs="Times New Roman"/>
          <w:lang w:val="en-US" w:eastAsia="it-IT"/>
        </w:rPr>
        <w:t>s</w:t>
      </w:r>
      <w:r w:rsidRPr="00BB66A8">
        <w:rPr>
          <w:rFonts w:ascii="Times New Roman" w:hAnsi="Times New Roman" w:cs="Times New Roman"/>
          <w:lang w:val="en-US" w:eastAsia="it-IT"/>
        </w:rPr>
        <w:t xml:space="preserve">, ranging from 127.08 mg </w:t>
      </w:r>
      <w:r w:rsidR="006155EC" w:rsidRPr="00BB66A8">
        <w:rPr>
          <w:rFonts w:ascii="Times New Roman" w:hAnsi="Times New Roman" w:cs="Times New Roman"/>
          <w:lang w:val="en-US" w:eastAsia="it-IT"/>
        </w:rPr>
        <w:t xml:space="preserve">to </w:t>
      </w:r>
      <w:r w:rsidRPr="00BB66A8">
        <w:rPr>
          <w:rFonts w:ascii="Times New Roman" w:hAnsi="Times New Roman" w:cs="Times New Roman"/>
          <w:lang w:val="en-US" w:eastAsia="it-IT"/>
        </w:rPr>
        <w:t>130.40 mg.</w:t>
      </w:r>
      <w:r w:rsidRPr="00BB66A8">
        <w:rPr>
          <w:rFonts w:ascii="Times New Roman" w:hAnsi="Times New Roman" w:cs="Times New Roman"/>
        </w:rPr>
        <w:t xml:space="preserve"> </w:t>
      </w:r>
      <w:r w:rsidRPr="00BB66A8">
        <w:rPr>
          <w:rFonts w:ascii="Times New Roman" w:hAnsi="Times New Roman" w:cs="Times New Roman"/>
          <w:lang w:val="en-US" w:eastAsia="it-IT"/>
        </w:rPr>
        <w:t xml:space="preserve">This allowed all formulations to satisfy the weight uniformity test, with weight within the deviation </w:t>
      </w:r>
      <w:r w:rsidR="006155EC" w:rsidRPr="00BB66A8">
        <w:rPr>
          <w:rFonts w:ascii="Times New Roman" w:hAnsi="Times New Roman" w:cs="Times New Roman"/>
          <w:lang w:val="en-US" w:eastAsia="it-IT"/>
        </w:rPr>
        <w:t xml:space="preserve">range </w:t>
      </w:r>
      <w:r w:rsidRPr="00BB66A8">
        <w:rPr>
          <w:rFonts w:ascii="Times New Roman" w:hAnsi="Times New Roman" w:cs="Times New Roman"/>
          <w:lang w:val="en-US" w:eastAsia="it-IT"/>
        </w:rPr>
        <w:t>from the mean value specified by F.U.I. XII (±</w:t>
      </w:r>
      <w:r w:rsidR="008167ED" w:rsidRPr="00BB66A8">
        <w:rPr>
          <w:rFonts w:ascii="Times New Roman" w:hAnsi="Times New Roman" w:cs="Times New Roman"/>
          <w:lang w:val="en-US" w:eastAsia="it-IT"/>
        </w:rPr>
        <w:t xml:space="preserve"> </w:t>
      </w:r>
      <w:r w:rsidRPr="00BB66A8">
        <w:rPr>
          <w:rFonts w:ascii="Times New Roman" w:hAnsi="Times New Roman" w:cs="Times New Roman"/>
          <w:lang w:val="en-US" w:eastAsia="it-IT"/>
        </w:rPr>
        <w:t xml:space="preserve">10%) </w:t>
      </w:r>
      <w:r w:rsidR="00432BE0" w:rsidRPr="00BB66A8">
        <w:rPr>
          <w:rFonts w:ascii="Times New Roman" w:hAnsi="Times New Roman" w:cs="Times New Roman"/>
          <w:color w:val="000000"/>
        </w:rPr>
        <w:t>(</w:t>
      </w:r>
      <w:r w:rsidR="006C2A56">
        <w:rPr>
          <w:rFonts w:ascii="Times New Roman" w:hAnsi="Times New Roman" w:cs="Times New Roman"/>
          <w:noProof/>
          <w:color w:val="000000"/>
        </w:rPr>
        <w:t>F.U.I. XII Ed.</w:t>
      </w:r>
      <w:r w:rsidR="00D62390">
        <w:rPr>
          <w:rFonts w:ascii="Times New Roman" w:hAnsi="Times New Roman" w:cs="Times New Roman"/>
          <w:noProof/>
          <w:color w:val="000000"/>
        </w:rPr>
        <w:t>a</w:t>
      </w:r>
      <w:r w:rsidR="00432BE0" w:rsidRPr="00BB66A8">
        <w:rPr>
          <w:rFonts w:ascii="Times New Roman" w:hAnsi="Times New Roman" w:cs="Times New Roman"/>
          <w:color w:val="000000"/>
        </w:rPr>
        <w:t>)</w:t>
      </w:r>
      <w:r w:rsidRPr="00BB66A8">
        <w:rPr>
          <w:rFonts w:ascii="Times New Roman" w:hAnsi="Times New Roman" w:cs="Times New Roman"/>
          <w:lang w:val="en-US" w:eastAsia="it-IT"/>
        </w:rPr>
        <w:t>.</w:t>
      </w:r>
      <w:r w:rsidRPr="00BB66A8">
        <w:rPr>
          <w:rFonts w:ascii="Times New Roman" w:hAnsi="Times New Roman" w:cs="Times New Roman"/>
        </w:rPr>
        <w:t xml:space="preserve"> </w:t>
      </w:r>
      <w:r w:rsidRPr="00BB66A8">
        <w:rPr>
          <w:rFonts w:ascii="Times New Roman" w:hAnsi="Times New Roman" w:cs="Times New Roman"/>
          <w:lang w:val="en-US" w:eastAsia="it-IT"/>
        </w:rPr>
        <w:t>The MT</w:t>
      </w:r>
      <w:r w:rsidR="00623A84" w:rsidRPr="00BB66A8">
        <w:rPr>
          <w:rFonts w:ascii="Times New Roman" w:hAnsi="Times New Roman" w:cs="Times New Roman"/>
          <w:lang w:val="en-US" w:eastAsia="it-IT"/>
        </w:rPr>
        <w:t>s</w:t>
      </w:r>
      <w:r w:rsidRPr="00BB66A8">
        <w:rPr>
          <w:rFonts w:ascii="Times New Roman" w:hAnsi="Times New Roman" w:cs="Times New Roman"/>
          <w:lang w:val="en-US" w:eastAsia="it-IT"/>
        </w:rPr>
        <w:t xml:space="preserve"> showed </w:t>
      </w:r>
      <w:r w:rsidR="00127A4E">
        <w:rPr>
          <w:rFonts w:ascii="Times New Roman" w:hAnsi="Times New Roman" w:cs="Times New Roman"/>
          <w:lang w:val="en-US" w:eastAsia="it-IT"/>
        </w:rPr>
        <w:t>also</w:t>
      </w:r>
      <w:r w:rsidR="003239DD">
        <w:rPr>
          <w:rFonts w:ascii="Times New Roman" w:hAnsi="Times New Roman" w:cs="Times New Roman"/>
          <w:lang w:val="en-US" w:eastAsia="it-IT"/>
        </w:rPr>
        <w:t xml:space="preserve"> </w:t>
      </w:r>
      <w:r w:rsidRPr="00BB66A8">
        <w:rPr>
          <w:rFonts w:ascii="Times New Roman" w:hAnsi="Times New Roman" w:cs="Times New Roman"/>
          <w:lang w:val="en-US" w:eastAsia="it-IT"/>
        </w:rPr>
        <w:t xml:space="preserve">acceptable friability values (&lt; 1%) </w:t>
      </w:r>
      <w:r w:rsidR="00432BE0" w:rsidRPr="00BB66A8">
        <w:rPr>
          <w:rFonts w:ascii="Times New Roman" w:hAnsi="Times New Roman" w:cs="Times New Roman"/>
          <w:color w:val="000000"/>
        </w:rPr>
        <w:t>(</w:t>
      </w:r>
      <w:r w:rsidR="006C2A56">
        <w:rPr>
          <w:rFonts w:ascii="Times New Roman" w:hAnsi="Times New Roman" w:cs="Times New Roman"/>
          <w:noProof/>
          <w:color w:val="000000"/>
        </w:rPr>
        <w:t>F.U.I. XII Ed</w:t>
      </w:r>
      <w:r w:rsidR="00432BE0" w:rsidRPr="00BB66A8">
        <w:rPr>
          <w:rFonts w:ascii="Times New Roman" w:hAnsi="Times New Roman" w:cs="Times New Roman"/>
          <w:color w:val="000000"/>
        </w:rPr>
        <w:t>.</w:t>
      </w:r>
      <w:r w:rsidR="00D62390">
        <w:rPr>
          <w:rFonts w:ascii="Times New Roman" w:hAnsi="Times New Roman" w:cs="Times New Roman"/>
          <w:color w:val="000000"/>
        </w:rPr>
        <w:t>b</w:t>
      </w:r>
      <w:r w:rsidR="00432BE0" w:rsidRPr="00BB66A8">
        <w:rPr>
          <w:rFonts w:ascii="Times New Roman" w:hAnsi="Times New Roman" w:cs="Times New Roman"/>
          <w:color w:val="000000"/>
        </w:rPr>
        <w:t>)</w:t>
      </w:r>
      <w:r w:rsidRPr="00BB66A8">
        <w:rPr>
          <w:rFonts w:ascii="Times New Roman" w:hAnsi="Times New Roman" w:cs="Times New Roman"/>
          <w:lang w:val="en-US" w:eastAsia="it-IT"/>
        </w:rPr>
        <w:t xml:space="preserve"> and sufficiently high hardness properties to warrant packaging and handling operations.</w:t>
      </w:r>
      <w:r w:rsidRPr="00BB66A8">
        <w:rPr>
          <w:rFonts w:ascii="Times New Roman" w:hAnsi="Times New Roman" w:cs="Times New Roman"/>
        </w:rPr>
        <w:t xml:space="preserve"> These</w:t>
      </w:r>
      <w:r w:rsidRPr="00BB66A8">
        <w:rPr>
          <w:rFonts w:ascii="Times New Roman" w:hAnsi="Times New Roman" w:cs="Times New Roman"/>
          <w:lang w:val="en-US" w:eastAsia="it-IT"/>
        </w:rPr>
        <w:t xml:space="preserve"> </w:t>
      </w:r>
      <w:r w:rsidR="0061520F" w:rsidRPr="00BB66A8">
        <w:rPr>
          <w:rFonts w:ascii="Times New Roman" w:hAnsi="Times New Roman" w:cs="Times New Roman"/>
          <w:lang w:val="en-US" w:eastAsia="it-IT"/>
        </w:rPr>
        <w:t>were</w:t>
      </w:r>
      <w:r w:rsidR="006155EC" w:rsidRPr="00BB66A8">
        <w:rPr>
          <w:rFonts w:ascii="Times New Roman" w:hAnsi="Times New Roman" w:cs="Times New Roman"/>
          <w:lang w:val="en-US" w:eastAsia="it-IT"/>
        </w:rPr>
        <w:t xml:space="preserve"> the </w:t>
      </w:r>
      <w:r w:rsidRPr="00BB66A8">
        <w:rPr>
          <w:rFonts w:ascii="Times New Roman" w:hAnsi="Times New Roman" w:cs="Times New Roman"/>
          <w:lang w:val="en-US" w:eastAsia="it-IT"/>
        </w:rPr>
        <w:t>results</w:t>
      </w:r>
      <w:r w:rsidR="006155EC" w:rsidRPr="00BB66A8">
        <w:rPr>
          <w:rFonts w:ascii="Times New Roman" w:hAnsi="Times New Roman" w:cs="Times New Roman"/>
          <w:lang w:val="en-US" w:eastAsia="it-IT"/>
        </w:rPr>
        <w:t xml:space="preserve"> that</w:t>
      </w:r>
      <w:r w:rsidRPr="00BB66A8">
        <w:rPr>
          <w:rFonts w:ascii="Times New Roman" w:hAnsi="Times New Roman" w:cs="Times New Roman"/>
          <w:lang w:val="en-US" w:eastAsia="it-IT"/>
        </w:rPr>
        <w:t xml:space="preserve"> could have been expected f</w:t>
      </w:r>
      <w:r w:rsidR="006155EC" w:rsidRPr="00BB66A8">
        <w:rPr>
          <w:rFonts w:ascii="Times New Roman" w:hAnsi="Times New Roman" w:cs="Times New Roman"/>
          <w:lang w:val="en-US" w:eastAsia="it-IT"/>
        </w:rPr>
        <w:t xml:space="preserve">or </w:t>
      </w:r>
      <w:r w:rsidRPr="00BB66A8">
        <w:rPr>
          <w:rFonts w:ascii="Times New Roman" w:hAnsi="Times New Roman" w:cs="Times New Roman"/>
          <w:lang w:val="en-US" w:eastAsia="it-IT"/>
        </w:rPr>
        <w:t>MT</w:t>
      </w:r>
      <w:r w:rsidR="001B6ADF">
        <w:rPr>
          <w:rFonts w:ascii="Times New Roman" w:hAnsi="Times New Roman" w:cs="Times New Roman"/>
          <w:lang w:val="en-US" w:eastAsia="it-IT"/>
        </w:rPr>
        <w:t>s</w:t>
      </w:r>
      <w:r w:rsidRPr="00BB66A8">
        <w:rPr>
          <w:rFonts w:ascii="Times New Roman" w:hAnsi="Times New Roman" w:cs="Times New Roman"/>
          <w:lang w:val="en-US" w:eastAsia="it-IT"/>
        </w:rPr>
        <w:t xml:space="preserve"> obtained by a 3D printing process involving the fusion and subsequent solidification into compact layers of a polymer matrix. In fact, the 3D formulations usually ha</w:t>
      </w:r>
      <w:r w:rsidR="00127A4E">
        <w:rPr>
          <w:rFonts w:ascii="Times New Roman" w:hAnsi="Times New Roman" w:cs="Times New Roman"/>
          <w:lang w:val="en-US" w:eastAsia="it-IT"/>
        </w:rPr>
        <w:t>ve</w:t>
      </w:r>
      <w:r w:rsidRPr="00BB66A8">
        <w:rPr>
          <w:rFonts w:ascii="Times New Roman" w:hAnsi="Times New Roman" w:cs="Times New Roman"/>
          <w:lang w:val="en-US" w:eastAsia="it-IT"/>
        </w:rPr>
        <w:t xml:space="preserve"> lower friability and higher hardness when compared with tablets achieved by conventional direct compression procedures </w:t>
      </w:r>
      <w:r w:rsidR="00432BE0" w:rsidRPr="00BB66A8">
        <w:rPr>
          <w:rFonts w:ascii="Times New Roman" w:hAnsi="Times New Roman" w:cs="Times New Roman"/>
          <w:color w:val="000000"/>
        </w:rPr>
        <w:t>(Kuźmińska et al., 2021)</w:t>
      </w:r>
      <w:r w:rsidRPr="00BB66A8">
        <w:rPr>
          <w:rFonts w:ascii="Times New Roman" w:hAnsi="Times New Roman" w:cs="Times New Roman"/>
          <w:lang w:val="en-US" w:eastAsia="it-IT"/>
        </w:rPr>
        <w:t>.</w:t>
      </w:r>
      <w:r w:rsidRPr="00BB66A8">
        <w:rPr>
          <w:rFonts w:ascii="Times New Roman" w:hAnsi="Times New Roman" w:cs="Times New Roman"/>
        </w:rPr>
        <w:t xml:space="preserve"> </w:t>
      </w:r>
      <w:r w:rsidRPr="00BB66A8">
        <w:rPr>
          <w:rFonts w:ascii="Times New Roman" w:hAnsi="Times New Roman" w:cs="Times New Roman"/>
          <w:lang w:val="en-US" w:eastAsia="it-IT"/>
        </w:rPr>
        <w:t>Moreover, the difference in breaking force values found between MT1 and the other formulations could be explained by the different composition</w:t>
      </w:r>
      <w:r w:rsidR="006155EC" w:rsidRPr="00BB66A8">
        <w:rPr>
          <w:rFonts w:ascii="Times New Roman" w:hAnsi="Times New Roman" w:cs="Times New Roman"/>
          <w:lang w:val="en-US" w:eastAsia="it-IT"/>
        </w:rPr>
        <w:t>s</w:t>
      </w:r>
      <w:r w:rsidRPr="00BB66A8">
        <w:rPr>
          <w:rFonts w:ascii="Times New Roman" w:hAnsi="Times New Roman" w:cs="Times New Roman"/>
          <w:lang w:val="en-US" w:eastAsia="it-IT"/>
        </w:rPr>
        <w:t xml:space="preserve"> of the mixtures. Indeed, in the MixBD, the % w/w of the HPMC was the highest among the blends and the </w:t>
      </w:r>
      <w:r w:rsidR="00DA334C" w:rsidRPr="00BB66A8">
        <w:rPr>
          <w:rFonts w:ascii="Times New Roman" w:hAnsi="Times New Roman" w:cs="Times New Roman"/>
          <w:lang w:val="en-US" w:eastAsia="it-IT"/>
        </w:rPr>
        <w:t>cyclodextrin</w:t>
      </w:r>
      <w:r w:rsidR="00EB5A8C" w:rsidRPr="00BB66A8">
        <w:rPr>
          <w:rFonts w:ascii="Times New Roman" w:hAnsi="Times New Roman" w:cs="Times New Roman"/>
          <w:lang w:val="en-US" w:eastAsia="it-IT"/>
        </w:rPr>
        <w:t xml:space="preserve"> (CD)</w:t>
      </w:r>
      <w:r w:rsidRPr="00BB66A8">
        <w:rPr>
          <w:rFonts w:ascii="Times New Roman" w:hAnsi="Times New Roman" w:cs="Times New Roman"/>
          <w:lang w:val="en-US" w:eastAsia="it-IT"/>
        </w:rPr>
        <w:t xml:space="preserve"> was completely absent. This </w:t>
      </w:r>
      <w:r w:rsidR="00127A4E">
        <w:rPr>
          <w:rFonts w:ascii="Times New Roman" w:hAnsi="Times New Roman" w:cs="Times New Roman"/>
          <w:lang w:val="en-US" w:eastAsia="it-IT"/>
        </w:rPr>
        <w:t>may have</w:t>
      </w:r>
      <w:r w:rsidRPr="00BB66A8">
        <w:rPr>
          <w:rFonts w:ascii="Times New Roman" w:hAnsi="Times New Roman" w:cs="Times New Roman"/>
          <w:lang w:val="en-US" w:eastAsia="it-IT"/>
        </w:rPr>
        <w:t xml:space="preserve"> led to increased compaction of the molten mixture consisting mainly of one polymer. The content uniformity test allowed the evaluation of the amount of BD loaded in the MT</w:t>
      </w:r>
      <w:r w:rsidR="00127A4E">
        <w:rPr>
          <w:rFonts w:ascii="Times New Roman" w:hAnsi="Times New Roman" w:cs="Times New Roman"/>
          <w:lang w:val="en-US" w:eastAsia="it-IT"/>
        </w:rPr>
        <w:t>s</w:t>
      </w:r>
      <w:r w:rsidRPr="00BB66A8">
        <w:rPr>
          <w:rFonts w:ascii="Times New Roman" w:hAnsi="Times New Roman" w:cs="Times New Roman"/>
          <w:lang w:val="en-US" w:eastAsia="it-IT"/>
        </w:rPr>
        <w:t xml:space="preserve"> </w:t>
      </w:r>
      <w:r w:rsidR="00926496" w:rsidRPr="00BB66A8">
        <w:rPr>
          <w:rFonts w:ascii="Times New Roman" w:hAnsi="Times New Roman" w:cs="Times New Roman"/>
          <w:lang w:val="en-US" w:eastAsia="it-IT"/>
        </w:rPr>
        <w:t>which was found to be highly comparable between the MT1 and MT2 formulations. Instead,</w:t>
      </w:r>
      <w:r w:rsidRPr="00BB66A8">
        <w:rPr>
          <w:rFonts w:ascii="Times New Roman" w:hAnsi="Times New Roman" w:cs="Times New Roman"/>
          <w:lang w:val="en-US" w:eastAsia="it-IT"/>
        </w:rPr>
        <w:t xml:space="preserve"> MT3 had a lower amount of drug, mainly related to the %EE of the IC obtained by FD, which was about</w:t>
      </w:r>
      <w:r w:rsidRPr="00BB66A8">
        <w:rPr>
          <w:rFonts w:ascii="Times New Roman" w:hAnsi="Times New Roman" w:cs="Times New Roman"/>
        </w:rPr>
        <w:t xml:space="preserve"> </w:t>
      </w:r>
      <w:r w:rsidRPr="00BB66A8">
        <w:rPr>
          <w:rFonts w:ascii="Times New Roman" w:hAnsi="Times New Roman" w:cs="Times New Roman"/>
          <w:lang w:val="en-US" w:eastAsia="it-IT"/>
        </w:rPr>
        <w:t xml:space="preserve">96%, as reported in Section 3.1. In fact, to keep </w:t>
      </w:r>
      <w:r w:rsidR="00323F78">
        <w:rPr>
          <w:rFonts w:ascii="Times New Roman" w:hAnsi="Times New Roman" w:cs="Times New Roman"/>
          <w:lang w:val="en-US" w:eastAsia="it-IT"/>
        </w:rPr>
        <w:t xml:space="preserve">unchanged </w:t>
      </w:r>
      <w:r w:rsidRPr="00BB66A8">
        <w:rPr>
          <w:rFonts w:ascii="Times New Roman" w:hAnsi="Times New Roman" w:cs="Times New Roman"/>
          <w:lang w:val="en-US" w:eastAsia="it-IT"/>
        </w:rPr>
        <w:t>the mixing ratios of the polymers studied in MixBD-CD, the total % (w/w) of IC present in MixIC</w:t>
      </w:r>
      <w:r w:rsidR="00323F78">
        <w:rPr>
          <w:rFonts w:ascii="Times New Roman" w:hAnsi="Times New Roman" w:cs="Times New Roman"/>
          <w:lang w:val="en-US" w:eastAsia="it-IT"/>
        </w:rPr>
        <w:t xml:space="preserve"> matched</w:t>
      </w:r>
      <w:r w:rsidRPr="00BB66A8">
        <w:rPr>
          <w:rFonts w:ascii="Times New Roman" w:hAnsi="Times New Roman" w:cs="Times New Roman"/>
          <w:lang w:val="en-US" w:eastAsia="it-IT"/>
        </w:rPr>
        <w:t xml:space="preserve"> with the sum of the % (w/w) of BD and HP-β-CD in MixBD-CD. The </w:t>
      </w:r>
      <w:r w:rsidR="00323F78">
        <w:rPr>
          <w:rFonts w:ascii="Times New Roman" w:hAnsi="Times New Roman" w:cs="Times New Roman"/>
          <w:lang w:val="en-US" w:eastAsia="it-IT"/>
        </w:rPr>
        <w:t xml:space="preserve">study </w:t>
      </w:r>
      <w:r w:rsidRPr="00BB66A8">
        <w:rPr>
          <w:rFonts w:ascii="Times New Roman" w:hAnsi="Times New Roman" w:cs="Times New Roman"/>
          <w:lang w:val="en-US" w:eastAsia="it-IT"/>
        </w:rPr>
        <w:t>of</w:t>
      </w:r>
      <w:r w:rsidR="00323F78">
        <w:rPr>
          <w:rFonts w:ascii="Times New Roman" w:hAnsi="Times New Roman" w:cs="Times New Roman"/>
          <w:lang w:val="en-US" w:eastAsia="it-IT"/>
        </w:rPr>
        <w:t xml:space="preserve"> </w:t>
      </w:r>
      <w:r w:rsidRPr="00BB66A8">
        <w:rPr>
          <w:rFonts w:ascii="Times New Roman" w:hAnsi="Times New Roman" w:cs="Times New Roman"/>
          <w:lang w:val="en-US" w:eastAsia="it-IT"/>
        </w:rPr>
        <w:t xml:space="preserve">these mixtures </w:t>
      </w:r>
      <w:r w:rsidR="00DB4393" w:rsidRPr="00BB66A8">
        <w:rPr>
          <w:rFonts w:ascii="Times New Roman" w:hAnsi="Times New Roman" w:cs="Times New Roman"/>
          <w:lang w:val="en-US" w:eastAsia="it-IT"/>
        </w:rPr>
        <w:t xml:space="preserve">also allowed </w:t>
      </w:r>
      <w:r w:rsidRPr="00BB66A8">
        <w:rPr>
          <w:rFonts w:ascii="Times New Roman" w:hAnsi="Times New Roman" w:cs="Times New Roman"/>
          <w:lang w:val="en-US" w:eastAsia="it-IT"/>
        </w:rPr>
        <w:t>to highlight</w:t>
      </w:r>
      <w:r w:rsidR="00323F78">
        <w:rPr>
          <w:rFonts w:ascii="Times New Roman" w:hAnsi="Times New Roman" w:cs="Times New Roman"/>
          <w:lang w:val="en-US" w:eastAsia="it-IT"/>
        </w:rPr>
        <w:t xml:space="preserve"> any</w:t>
      </w:r>
      <w:r w:rsidRPr="00BB66A8">
        <w:rPr>
          <w:rFonts w:ascii="Times New Roman" w:hAnsi="Times New Roman" w:cs="Times New Roman"/>
          <w:lang w:val="en-US" w:eastAsia="it-IT"/>
        </w:rPr>
        <w:t xml:space="preserve"> differences between the IC obtained by </w:t>
      </w:r>
      <w:r w:rsidR="00323F78">
        <w:rPr>
          <w:rFonts w:ascii="Times New Roman" w:hAnsi="Times New Roman" w:cs="Times New Roman"/>
          <w:lang w:val="en-US" w:eastAsia="it-IT"/>
        </w:rPr>
        <w:t xml:space="preserve">the two </w:t>
      </w:r>
      <w:r w:rsidRPr="00BB66A8">
        <w:rPr>
          <w:rFonts w:ascii="Times New Roman" w:hAnsi="Times New Roman" w:cs="Times New Roman"/>
          <w:lang w:val="en-US" w:eastAsia="it-IT"/>
        </w:rPr>
        <w:t xml:space="preserve">different techniques, DPE and FD. </w:t>
      </w:r>
    </w:p>
    <w:p w14:paraId="10DC9FBF" w14:textId="77777777" w:rsidR="00096D32" w:rsidRDefault="00096D32" w:rsidP="001A73BF">
      <w:pPr>
        <w:rPr>
          <w:rFonts w:ascii="Times New Roman" w:hAnsi="Times New Roman" w:cs="Times New Roman"/>
          <w:lang w:val="en-US" w:eastAsia="it-IT"/>
        </w:rPr>
      </w:pPr>
    </w:p>
    <w:p w14:paraId="1BEB0DD0" w14:textId="29A219F1" w:rsidR="002E36FD" w:rsidRPr="00096D32" w:rsidRDefault="00096D32" w:rsidP="001A73BF">
      <w:pPr>
        <w:rPr>
          <w:rFonts w:ascii="Times New Roman" w:hAnsi="Times New Roman" w:cs="Times New Roman"/>
          <w:sz w:val="18"/>
          <w:szCs w:val="18"/>
          <w:lang w:val="en-US" w:eastAsia="it-IT"/>
        </w:rPr>
      </w:pPr>
      <w:r w:rsidRPr="00BB66A8">
        <w:rPr>
          <w:rFonts w:ascii="Times New Roman" w:hAnsi="Times New Roman" w:cs="Times New Roman"/>
          <w:b/>
          <w:bCs/>
        </w:rPr>
        <w:t>Table 3.</w:t>
      </w:r>
      <w:r w:rsidRPr="00BB66A8">
        <w:rPr>
          <w:rFonts w:ascii="Times New Roman" w:hAnsi="Times New Roman" w:cs="Times New Roman"/>
        </w:rPr>
        <w:t xml:space="preserve"> For each formulation, the characteristics of each MT obtained by DPE.</w:t>
      </w:r>
    </w:p>
    <w:tbl>
      <w:tblPr>
        <w:tblStyle w:val="Grigliatabella"/>
        <w:tblpPr w:leftFromText="141" w:rightFromText="141" w:vertAnchor="text" w:horzAnchor="margin" w:tblpY="47"/>
        <w:tblW w:w="9790" w:type="dxa"/>
        <w:tblLayout w:type="fixed"/>
        <w:tblLook w:val="04A0" w:firstRow="1" w:lastRow="0" w:firstColumn="1" w:lastColumn="0" w:noHBand="0" w:noVBand="1"/>
      </w:tblPr>
      <w:tblGrid>
        <w:gridCol w:w="1273"/>
        <w:gridCol w:w="1647"/>
        <w:gridCol w:w="1455"/>
        <w:gridCol w:w="1213"/>
        <w:gridCol w:w="1775"/>
        <w:gridCol w:w="1257"/>
        <w:gridCol w:w="1170"/>
      </w:tblGrid>
      <w:tr w:rsidR="00A2620A" w:rsidRPr="00BB66A8" w14:paraId="13518875" w14:textId="77777777" w:rsidTr="009F5868">
        <w:trPr>
          <w:trHeight w:val="114"/>
        </w:trPr>
        <w:tc>
          <w:tcPr>
            <w:tcW w:w="1273" w:type="dxa"/>
            <w:tcBorders>
              <w:top w:val="single" w:sz="12" w:space="0" w:color="auto"/>
              <w:left w:val="nil"/>
              <w:bottom w:val="nil"/>
              <w:right w:val="nil"/>
            </w:tcBorders>
            <w:hideMark/>
          </w:tcPr>
          <w:p w14:paraId="0A0BDD19" w14:textId="77777777" w:rsidR="00A2620A" w:rsidRPr="00BB66A8" w:rsidRDefault="00A2620A" w:rsidP="009F5868">
            <w:pPr>
              <w:spacing w:before="240"/>
              <w:jc w:val="center"/>
              <w:rPr>
                <w:rFonts w:ascii="Times New Roman" w:hAnsi="Times New Roman" w:cs="Times New Roman"/>
                <w:b/>
                <w:bCs/>
                <w:sz w:val="18"/>
                <w:szCs w:val="18"/>
              </w:rPr>
            </w:pPr>
            <w:r w:rsidRPr="00BB66A8">
              <w:rPr>
                <w:rFonts w:ascii="Times New Roman" w:hAnsi="Times New Roman" w:cs="Times New Roman"/>
                <w:b/>
                <w:bCs/>
                <w:sz w:val="20"/>
                <w:szCs w:val="20"/>
              </w:rPr>
              <w:t>MT</w:t>
            </w:r>
          </w:p>
        </w:tc>
        <w:tc>
          <w:tcPr>
            <w:tcW w:w="1647" w:type="dxa"/>
            <w:tcBorders>
              <w:top w:val="single" w:sz="12" w:space="0" w:color="auto"/>
              <w:left w:val="nil"/>
              <w:bottom w:val="nil"/>
              <w:right w:val="nil"/>
            </w:tcBorders>
            <w:vAlign w:val="center"/>
            <w:hideMark/>
          </w:tcPr>
          <w:p w14:paraId="042DAF80" w14:textId="77777777" w:rsidR="00A2620A" w:rsidRPr="00BB66A8" w:rsidRDefault="00A2620A" w:rsidP="009F5868">
            <w:pPr>
              <w:spacing w:before="240"/>
              <w:jc w:val="center"/>
              <w:rPr>
                <w:rFonts w:ascii="Times New Roman" w:hAnsi="Times New Roman" w:cs="Times New Roman"/>
                <w:b/>
                <w:bCs/>
                <w:sz w:val="18"/>
                <w:szCs w:val="18"/>
              </w:rPr>
            </w:pPr>
            <w:r w:rsidRPr="00BB66A8">
              <w:rPr>
                <w:rFonts w:ascii="Times New Roman" w:hAnsi="Times New Roman" w:cs="Times New Roman"/>
                <w:b/>
                <w:bCs/>
                <w:sz w:val="20"/>
                <w:szCs w:val="20"/>
              </w:rPr>
              <w:t>Weight Uniformity</w:t>
            </w:r>
            <w:r w:rsidRPr="00BB66A8">
              <w:rPr>
                <w:rFonts w:ascii="Times New Roman" w:hAnsi="Times New Roman" w:cs="Times New Roman"/>
                <w:b/>
                <w:bCs/>
                <w:sz w:val="16"/>
                <w:szCs w:val="16"/>
              </w:rPr>
              <w:t>*</w:t>
            </w:r>
            <w:r w:rsidRPr="00BB66A8">
              <w:rPr>
                <w:rFonts w:ascii="Times New Roman" w:hAnsi="Times New Roman" w:cs="Times New Roman"/>
                <w:b/>
                <w:bCs/>
                <w:sz w:val="20"/>
                <w:szCs w:val="20"/>
              </w:rPr>
              <w:t xml:space="preserve"> </w:t>
            </w:r>
            <w:r w:rsidRPr="00BB66A8">
              <w:rPr>
                <w:rFonts w:ascii="Times New Roman" w:hAnsi="Times New Roman" w:cs="Times New Roman"/>
                <w:b/>
                <w:bCs/>
                <w:sz w:val="18"/>
                <w:szCs w:val="18"/>
              </w:rPr>
              <w:t>(mg)</w:t>
            </w:r>
          </w:p>
        </w:tc>
        <w:tc>
          <w:tcPr>
            <w:tcW w:w="1455" w:type="dxa"/>
            <w:tcBorders>
              <w:top w:val="single" w:sz="12" w:space="0" w:color="auto"/>
              <w:left w:val="nil"/>
              <w:bottom w:val="nil"/>
              <w:right w:val="nil"/>
            </w:tcBorders>
            <w:hideMark/>
          </w:tcPr>
          <w:p w14:paraId="67B26371" w14:textId="77777777" w:rsidR="00A2620A" w:rsidRPr="00BB66A8" w:rsidRDefault="00A2620A" w:rsidP="009F5868">
            <w:pPr>
              <w:spacing w:before="240"/>
              <w:jc w:val="center"/>
              <w:rPr>
                <w:rFonts w:ascii="Times New Roman" w:hAnsi="Times New Roman" w:cs="Times New Roman"/>
                <w:b/>
                <w:bCs/>
                <w:sz w:val="18"/>
                <w:szCs w:val="18"/>
              </w:rPr>
            </w:pPr>
            <w:r w:rsidRPr="00BB66A8">
              <w:rPr>
                <w:rFonts w:ascii="Times New Roman" w:hAnsi="Times New Roman" w:cs="Times New Roman"/>
                <w:b/>
                <w:bCs/>
                <w:sz w:val="20"/>
                <w:szCs w:val="20"/>
              </w:rPr>
              <w:t>Drug content</w:t>
            </w:r>
            <w:r w:rsidRPr="00BB66A8">
              <w:rPr>
                <w:rFonts w:ascii="Times New Roman" w:hAnsi="Times New Roman" w:cs="Times New Roman"/>
                <w:b/>
                <w:bCs/>
                <w:sz w:val="16"/>
                <w:szCs w:val="16"/>
              </w:rPr>
              <w:t>*</w:t>
            </w:r>
            <w:r w:rsidRPr="00BB66A8">
              <w:rPr>
                <w:rFonts w:ascii="Times New Roman" w:hAnsi="Times New Roman" w:cs="Times New Roman"/>
                <w:b/>
                <w:bCs/>
                <w:sz w:val="20"/>
                <w:szCs w:val="20"/>
              </w:rPr>
              <w:t xml:space="preserve"> </w:t>
            </w:r>
            <w:r w:rsidRPr="00BB66A8">
              <w:rPr>
                <w:rFonts w:ascii="Times New Roman" w:hAnsi="Times New Roman" w:cs="Times New Roman"/>
                <w:b/>
                <w:bCs/>
                <w:sz w:val="18"/>
                <w:szCs w:val="18"/>
              </w:rPr>
              <w:t>(mg)</w:t>
            </w:r>
          </w:p>
        </w:tc>
        <w:tc>
          <w:tcPr>
            <w:tcW w:w="1213" w:type="dxa"/>
            <w:tcBorders>
              <w:top w:val="single" w:sz="12" w:space="0" w:color="auto"/>
              <w:left w:val="nil"/>
              <w:bottom w:val="nil"/>
              <w:right w:val="nil"/>
            </w:tcBorders>
            <w:hideMark/>
          </w:tcPr>
          <w:p w14:paraId="419DCAC1" w14:textId="77777777" w:rsidR="00A2620A" w:rsidRPr="00BB66A8" w:rsidRDefault="00A2620A" w:rsidP="009F5868">
            <w:pPr>
              <w:spacing w:before="240"/>
              <w:jc w:val="center"/>
              <w:rPr>
                <w:rFonts w:ascii="Times New Roman" w:hAnsi="Times New Roman" w:cs="Times New Roman"/>
                <w:b/>
                <w:bCs/>
                <w:sz w:val="18"/>
                <w:szCs w:val="18"/>
              </w:rPr>
            </w:pPr>
            <w:r w:rsidRPr="00BB66A8">
              <w:rPr>
                <w:rFonts w:ascii="Times New Roman" w:hAnsi="Times New Roman" w:cs="Times New Roman"/>
                <w:b/>
                <w:bCs/>
                <w:sz w:val="20"/>
                <w:szCs w:val="20"/>
              </w:rPr>
              <w:t>Friability</w:t>
            </w:r>
            <w:r w:rsidRPr="00BB66A8">
              <w:rPr>
                <w:rFonts w:ascii="Times New Roman" w:hAnsi="Times New Roman" w:cs="Times New Roman"/>
                <w:b/>
                <w:bCs/>
                <w:sz w:val="16"/>
                <w:szCs w:val="16"/>
              </w:rPr>
              <w:t>*</w:t>
            </w:r>
            <w:r w:rsidRPr="00BB66A8">
              <w:rPr>
                <w:rFonts w:ascii="Times New Roman" w:hAnsi="Times New Roman" w:cs="Times New Roman"/>
                <w:b/>
                <w:bCs/>
                <w:sz w:val="18"/>
                <w:szCs w:val="18"/>
              </w:rPr>
              <w:t xml:space="preserve"> (%)</w:t>
            </w:r>
          </w:p>
        </w:tc>
        <w:tc>
          <w:tcPr>
            <w:tcW w:w="1775" w:type="dxa"/>
            <w:tcBorders>
              <w:top w:val="single" w:sz="12" w:space="0" w:color="auto"/>
              <w:left w:val="nil"/>
              <w:bottom w:val="nil"/>
              <w:right w:val="nil"/>
            </w:tcBorders>
            <w:hideMark/>
          </w:tcPr>
          <w:p w14:paraId="5D782CBF" w14:textId="77777777" w:rsidR="00A2620A" w:rsidRPr="00BB66A8" w:rsidRDefault="00A2620A" w:rsidP="009F5868">
            <w:pPr>
              <w:spacing w:before="240"/>
              <w:jc w:val="center"/>
              <w:rPr>
                <w:rFonts w:ascii="Times New Roman" w:hAnsi="Times New Roman" w:cs="Times New Roman"/>
                <w:b/>
                <w:bCs/>
                <w:sz w:val="18"/>
                <w:szCs w:val="18"/>
              </w:rPr>
            </w:pPr>
            <w:r w:rsidRPr="00BB66A8">
              <w:rPr>
                <w:rFonts w:ascii="Times New Roman" w:hAnsi="Times New Roman" w:cs="Times New Roman"/>
                <w:b/>
                <w:bCs/>
                <w:sz w:val="20"/>
                <w:szCs w:val="20"/>
              </w:rPr>
              <w:t xml:space="preserve">Breaking Force </w:t>
            </w:r>
            <w:r w:rsidRPr="00BB66A8">
              <w:rPr>
                <w:rFonts w:ascii="Times New Roman" w:hAnsi="Times New Roman" w:cs="Times New Roman"/>
                <w:b/>
                <w:bCs/>
                <w:sz w:val="18"/>
                <w:szCs w:val="18"/>
              </w:rPr>
              <w:t>(N)*</w:t>
            </w:r>
          </w:p>
        </w:tc>
        <w:tc>
          <w:tcPr>
            <w:tcW w:w="2427" w:type="dxa"/>
            <w:gridSpan w:val="2"/>
            <w:tcBorders>
              <w:top w:val="single" w:sz="12" w:space="0" w:color="auto"/>
              <w:left w:val="nil"/>
              <w:bottom w:val="single" w:sz="12" w:space="0" w:color="auto"/>
              <w:right w:val="nil"/>
            </w:tcBorders>
            <w:hideMark/>
          </w:tcPr>
          <w:p w14:paraId="66598509" w14:textId="77777777" w:rsidR="00A2620A" w:rsidRPr="00BB66A8" w:rsidRDefault="00A2620A" w:rsidP="009F5868">
            <w:pPr>
              <w:spacing w:before="240"/>
              <w:jc w:val="center"/>
              <w:rPr>
                <w:rFonts w:ascii="Times New Roman" w:hAnsi="Times New Roman" w:cs="Times New Roman"/>
                <w:b/>
                <w:bCs/>
                <w:sz w:val="18"/>
                <w:szCs w:val="18"/>
              </w:rPr>
            </w:pPr>
            <w:r w:rsidRPr="00BB66A8">
              <w:rPr>
                <w:rFonts w:ascii="Times New Roman" w:hAnsi="Times New Roman" w:cs="Times New Roman"/>
                <w:b/>
                <w:bCs/>
                <w:sz w:val="20"/>
                <w:szCs w:val="20"/>
              </w:rPr>
              <w:t>Dimensions (mm)</w:t>
            </w:r>
            <w:r w:rsidRPr="00BB66A8">
              <w:rPr>
                <w:rFonts w:ascii="Times New Roman" w:hAnsi="Times New Roman" w:cs="Times New Roman"/>
                <w:b/>
                <w:bCs/>
                <w:sz w:val="16"/>
                <w:szCs w:val="16"/>
              </w:rPr>
              <w:t>*</w:t>
            </w:r>
          </w:p>
        </w:tc>
      </w:tr>
      <w:tr w:rsidR="00A2620A" w:rsidRPr="00BB66A8" w14:paraId="32916A2E" w14:textId="77777777" w:rsidTr="00DE7C10">
        <w:trPr>
          <w:trHeight w:val="29"/>
        </w:trPr>
        <w:tc>
          <w:tcPr>
            <w:tcW w:w="1273" w:type="dxa"/>
            <w:tcBorders>
              <w:top w:val="nil"/>
              <w:left w:val="nil"/>
              <w:bottom w:val="single" w:sz="12" w:space="0" w:color="auto"/>
              <w:right w:val="nil"/>
            </w:tcBorders>
          </w:tcPr>
          <w:p w14:paraId="39ECB058" w14:textId="77777777" w:rsidR="00A2620A" w:rsidRPr="00BB66A8" w:rsidRDefault="00A2620A" w:rsidP="009F5868">
            <w:pPr>
              <w:rPr>
                <w:rFonts w:ascii="Times New Roman" w:hAnsi="Times New Roman" w:cs="Times New Roman"/>
                <w:sz w:val="18"/>
                <w:szCs w:val="18"/>
              </w:rPr>
            </w:pPr>
          </w:p>
        </w:tc>
        <w:tc>
          <w:tcPr>
            <w:tcW w:w="1647" w:type="dxa"/>
            <w:tcBorders>
              <w:top w:val="nil"/>
              <w:left w:val="nil"/>
              <w:bottom w:val="single" w:sz="12" w:space="0" w:color="auto"/>
              <w:right w:val="nil"/>
            </w:tcBorders>
          </w:tcPr>
          <w:p w14:paraId="4835F084" w14:textId="77777777" w:rsidR="00A2620A" w:rsidRPr="00BB66A8" w:rsidRDefault="00A2620A" w:rsidP="009F5868">
            <w:pPr>
              <w:rPr>
                <w:rFonts w:ascii="Times New Roman" w:hAnsi="Times New Roman" w:cs="Times New Roman"/>
                <w:sz w:val="18"/>
                <w:szCs w:val="18"/>
              </w:rPr>
            </w:pPr>
          </w:p>
        </w:tc>
        <w:tc>
          <w:tcPr>
            <w:tcW w:w="1455" w:type="dxa"/>
            <w:tcBorders>
              <w:top w:val="nil"/>
              <w:left w:val="nil"/>
              <w:bottom w:val="single" w:sz="12" w:space="0" w:color="auto"/>
              <w:right w:val="nil"/>
            </w:tcBorders>
          </w:tcPr>
          <w:p w14:paraId="5858DBE8" w14:textId="77777777" w:rsidR="00A2620A" w:rsidRPr="00BB66A8" w:rsidRDefault="00A2620A" w:rsidP="009F5868">
            <w:pPr>
              <w:rPr>
                <w:rFonts w:ascii="Times New Roman" w:hAnsi="Times New Roman" w:cs="Times New Roman"/>
                <w:sz w:val="18"/>
                <w:szCs w:val="18"/>
              </w:rPr>
            </w:pPr>
          </w:p>
        </w:tc>
        <w:tc>
          <w:tcPr>
            <w:tcW w:w="1213" w:type="dxa"/>
            <w:tcBorders>
              <w:top w:val="nil"/>
              <w:left w:val="nil"/>
              <w:bottom w:val="single" w:sz="12" w:space="0" w:color="auto"/>
              <w:right w:val="nil"/>
            </w:tcBorders>
          </w:tcPr>
          <w:p w14:paraId="63F938F5" w14:textId="77777777" w:rsidR="00A2620A" w:rsidRPr="00BB66A8" w:rsidRDefault="00A2620A" w:rsidP="009F5868">
            <w:pPr>
              <w:rPr>
                <w:rFonts w:ascii="Times New Roman" w:hAnsi="Times New Roman" w:cs="Times New Roman"/>
                <w:sz w:val="18"/>
                <w:szCs w:val="18"/>
              </w:rPr>
            </w:pPr>
          </w:p>
        </w:tc>
        <w:tc>
          <w:tcPr>
            <w:tcW w:w="1775" w:type="dxa"/>
            <w:tcBorders>
              <w:top w:val="nil"/>
              <w:left w:val="nil"/>
              <w:bottom w:val="single" w:sz="12" w:space="0" w:color="auto"/>
              <w:right w:val="nil"/>
            </w:tcBorders>
          </w:tcPr>
          <w:p w14:paraId="6B0AFB7F" w14:textId="77777777" w:rsidR="00A2620A" w:rsidRPr="00BB66A8" w:rsidRDefault="00A2620A" w:rsidP="009F5868">
            <w:pPr>
              <w:rPr>
                <w:rFonts w:ascii="Times New Roman" w:hAnsi="Times New Roman" w:cs="Times New Roman"/>
                <w:sz w:val="18"/>
                <w:szCs w:val="18"/>
              </w:rPr>
            </w:pPr>
          </w:p>
        </w:tc>
        <w:tc>
          <w:tcPr>
            <w:tcW w:w="1257" w:type="dxa"/>
            <w:tcBorders>
              <w:top w:val="single" w:sz="12" w:space="0" w:color="auto"/>
              <w:left w:val="nil"/>
              <w:bottom w:val="single" w:sz="12" w:space="0" w:color="auto"/>
              <w:right w:val="nil"/>
            </w:tcBorders>
            <w:vAlign w:val="center"/>
            <w:hideMark/>
          </w:tcPr>
          <w:p w14:paraId="1F5F37F1"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 xml:space="preserve">Diameter </w:t>
            </w:r>
          </w:p>
        </w:tc>
        <w:tc>
          <w:tcPr>
            <w:tcW w:w="1170" w:type="dxa"/>
            <w:tcBorders>
              <w:top w:val="single" w:sz="12" w:space="0" w:color="auto"/>
              <w:left w:val="nil"/>
              <w:bottom w:val="single" w:sz="12" w:space="0" w:color="auto"/>
              <w:right w:val="nil"/>
            </w:tcBorders>
            <w:vAlign w:val="center"/>
            <w:hideMark/>
          </w:tcPr>
          <w:p w14:paraId="22F1D552"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 xml:space="preserve">Height </w:t>
            </w:r>
          </w:p>
        </w:tc>
      </w:tr>
      <w:tr w:rsidR="00A2620A" w:rsidRPr="00BB66A8" w14:paraId="7ADB554A" w14:textId="77777777" w:rsidTr="00553102">
        <w:trPr>
          <w:trHeight w:val="121"/>
        </w:trPr>
        <w:tc>
          <w:tcPr>
            <w:tcW w:w="1273" w:type="dxa"/>
            <w:tcBorders>
              <w:top w:val="single" w:sz="12" w:space="0" w:color="auto"/>
              <w:left w:val="nil"/>
              <w:bottom w:val="nil"/>
              <w:right w:val="nil"/>
            </w:tcBorders>
            <w:hideMark/>
          </w:tcPr>
          <w:p w14:paraId="0FA333D1" w14:textId="77777777" w:rsidR="00A2620A" w:rsidRPr="00BB66A8" w:rsidRDefault="00A2620A" w:rsidP="009F5868">
            <w:pPr>
              <w:jc w:val="center"/>
              <w:rPr>
                <w:rFonts w:ascii="Times New Roman" w:hAnsi="Times New Roman" w:cs="Times New Roman"/>
                <w:sz w:val="20"/>
                <w:szCs w:val="20"/>
              </w:rPr>
            </w:pPr>
            <w:r w:rsidRPr="00BB66A8">
              <w:rPr>
                <w:rFonts w:ascii="Times New Roman" w:hAnsi="Times New Roman" w:cs="Times New Roman"/>
                <w:sz w:val="20"/>
                <w:szCs w:val="20"/>
              </w:rPr>
              <w:t>1</w:t>
            </w:r>
          </w:p>
        </w:tc>
        <w:tc>
          <w:tcPr>
            <w:tcW w:w="1647" w:type="dxa"/>
            <w:tcBorders>
              <w:top w:val="single" w:sz="12" w:space="0" w:color="auto"/>
              <w:left w:val="nil"/>
              <w:bottom w:val="nil"/>
              <w:right w:val="nil"/>
            </w:tcBorders>
            <w:hideMark/>
          </w:tcPr>
          <w:p w14:paraId="030788E2"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128.08 ± 20.17</w:t>
            </w:r>
          </w:p>
        </w:tc>
        <w:tc>
          <w:tcPr>
            <w:tcW w:w="1455" w:type="dxa"/>
            <w:tcBorders>
              <w:top w:val="single" w:sz="12" w:space="0" w:color="auto"/>
              <w:left w:val="nil"/>
              <w:bottom w:val="nil"/>
              <w:right w:val="nil"/>
            </w:tcBorders>
            <w:hideMark/>
          </w:tcPr>
          <w:p w14:paraId="531B032B"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0.71 ± 0.09</w:t>
            </w:r>
          </w:p>
        </w:tc>
        <w:tc>
          <w:tcPr>
            <w:tcW w:w="1213" w:type="dxa"/>
            <w:tcBorders>
              <w:top w:val="single" w:sz="12" w:space="0" w:color="auto"/>
              <w:left w:val="nil"/>
              <w:bottom w:val="nil"/>
              <w:right w:val="nil"/>
            </w:tcBorders>
            <w:hideMark/>
          </w:tcPr>
          <w:p w14:paraId="4E5563E3"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0.022</w:t>
            </w:r>
          </w:p>
        </w:tc>
        <w:tc>
          <w:tcPr>
            <w:tcW w:w="1775" w:type="dxa"/>
            <w:tcBorders>
              <w:top w:val="single" w:sz="12" w:space="0" w:color="auto"/>
              <w:left w:val="nil"/>
              <w:bottom w:val="nil"/>
              <w:right w:val="nil"/>
            </w:tcBorders>
            <w:hideMark/>
          </w:tcPr>
          <w:p w14:paraId="3CE5CF16"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 484.00</w:t>
            </w:r>
          </w:p>
        </w:tc>
        <w:tc>
          <w:tcPr>
            <w:tcW w:w="1257" w:type="dxa"/>
            <w:tcBorders>
              <w:top w:val="single" w:sz="12" w:space="0" w:color="auto"/>
              <w:left w:val="nil"/>
              <w:bottom w:val="nil"/>
              <w:right w:val="nil"/>
            </w:tcBorders>
            <w:hideMark/>
          </w:tcPr>
          <w:p w14:paraId="57464DBE" w14:textId="41578BE9" w:rsidR="00A2620A" w:rsidRPr="00BB66A8" w:rsidRDefault="00373DE1" w:rsidP="009F5868">
            <w:pPr>
              <w:jc w:val="center"/>
              <w:rPr>
                <w:rFonts w:ascii="Times New Roman" w:hAnsi="Times New Roman" w:cs="Times New Roman"/>
                <w:sz w:val="18"/>
                <w:szCs w:val="18"/>
              </w:rPr>
            </w:pPr>
            <w:r w:rsidRPr="00BB66A8">
              <w:rPr>
                <w:rFonts w:ascii="Times New Roman" w:hAnsi="Times New Roman" w:cs="Times New Roman"/>
                <w:sz w:val="18"/>
                <w:szCs w:val="18"/>
              </w:rPr>
              <w:t>5</w:t>
            </w:r>
            <w:r w:rsidR="00A2620A" w:rsidRPr="00BB66A8">
              <w:rPr>
                <w:rFonts w:ascii="Times New Roman" w:hAnsi="Times New Roman" w:cs="Times New Roman"/>
                <w:sz w:val="18"/>
                <w:szCs w:val="18"/>
              </w:rPr>
              <w:t>.17 ± 0.29</w:t>
            </w:r>
          </w:p>
        </w:tc>
        <w:tc>
          <w:tcPr>
            <w:tcW w:w="1170" w:type="dxa"/>
            <w:tcBorders>
              <w:top w:val="single" w:sz="12" w:space="0" w:color="auto"/>
              <w:left w:val="nil"/>
              <w:bottom w:val="nil"/>
              <w:right w:val="nil"/>
            </w:tcBorders>
            <w:hideMark/>
          </w:tcPr>
          <w:p w14:paraId="3F214831"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4.14 ± 0.33</w:t>
            </w:r>
          </w:p>
        </w:tc>
      </w:tr>
      <w:tr w:rsidR="00A2620A" w:rsidRPr="00BB66A8" w14:paraId="49E4C47E" w14:textId="77777777" w:rsidTr="00553102">
        <w:trPr>
          <w:trHeight w:val="121"/>
        </w:trPr>
        <w:tc>
          <w:tcPr>
            <w:tcW w:w="1273" w:type="dxa"/>
            <w:tcBorders>
              <w:top w:val="nil"/>
              <w:left w:val="nil"/>
              <w:bottom w:val="nil"/>
              <w:right w:val="nil"/>
            </w:tcBorders>
            <w:hideMark/>
          </w:tcPr>
          <w:p w14:paraId="4B6401C0" w14:textId="77777777" w:rsidR="00A2620A" w:rsidRPr="00BB66A8" w:rsidRDefault="00A2620A" w:rsidP="009F5868">
            <w:pPr>
              <w:jc w:val="center"/>
              <w:rPr>
                <w:rFonts w:ascii="Times New Roman" w:hAnsi="Times New Roman" w:cs="Times New Roman"/>
                <w:sz w:val="20"/>
                <w:szCs w:val="20"/>
              </w:rPr>
            </w:pPr>
            <w:r w:rsidRPr="00BB66A8">
              <w:rPr>
                <w:rFonts w:ascii="Times New Roman" w:hAnsi="Times New Roman" w:cs="Times New Roman"/>
                <w:sz w:val="20"/>
                <w:szCs w:val="20"/>
              </w:rPr>
              <w:t>2</w:t>
            </w:r>
          </w:p>
        </w:tc>
        <w:tc>
          <w:tcPr>
            <w:tcW w:w="1647" w:type="dxa"/>
            <w:tcBorders>
              <w:top w:val="nil"/>
              <w:left w:val="nil"/>
              <w:bottom w:val="nil"/>
              <w:right w:val="nil"/>
            </w:tcBorders>
            <w:hideMark/>
          </w:tcPr>
          <w:p w14:paraId="56A404FB"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127.08 ± 10.68</w:t>
            </w:r>
          </w:p>
        </w:tc>
        <w:tc>
          <w:tcPr>
            <w:tcW w:w="1455" w:type="dxa"/>
            <w:tcBorders>
              <w:top w:val="nil"/>
              <w:left w:val="nil"/>
              <w:bottom w:val="nil"/>
              <w:right w:val="nil"/>
            </w:tcBorders>
            <w:hideMark/>
          </w:tcPr>
          <w:p w14:paraId="6D5FF00A"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0.68 ± 0.09</w:t>
            </w:r>
          </w:p>
        </w:tc>
        <w:tc>
          <w:tcPr>
            <w:tcW w:w="1213" w:type="dxa"/>
            <w:tcBorders>
              <w:top w:val="nil"/>
              <w:left w:val="nil"/>
              <w:bottom w:val="nil"/>
              <w:right w:val="nil"/>
            </w:tcBorders>
            <w:hideMark/>
          </w:tcPr>
          <w:p w14:paraId="1488AE31"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0.064</w:t>
            </w:r>
          </w:p>
        </w:tc>
        <w:tc>
          <w:tcPr>
            <w:tcW w:w="1775" w:type="dxa"/>
            <w:tcBorders>
              <w:top w:val="nil"/>
              <w:left w:val="nil"/>
              <w:bottom w:val="nil"/>
              <w:right w:val="nil"/>
            </w:tcBorders>
            <w:hideMark/>
          </w:tcPr>
          <w:p w14:paraId="5A8F3955"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298.67 ± 62.14</w:t>
            </w:r>
          </w:p>
        </w:tc>
        <w:tc>
          <w:tcPr>
            <w:tcW w:w="1257" w:type="dxa"/>
            <w:tcBorders>
              <w:top w:val="nil"/>
              <w:left w:val="nil"/>
              <w:bottom w:val="nil"/>
              <w:right w:val="nil"/>
            </w:tcBorders>
            <w:hideMark/>
          </w:tcPr>
          <w:p w14:paraId="4397602C" w14:textId="34B39754" w:rsidR="00A2620A" w:rsidRPr="00BB66A8" w:rsidRDefault="00373DE1" w:rsidP="009F5868">
            <w:pPr>
              <w:jc w:val="center"/>
              <w:rPr>
                <w:rFonts w:ascii="Times New Roman" w:hAnsi="Times New Roman" w:cs="Times New Roman"/>
                <w:sz w:val="18"/>
                <w:szCs w:val="18"/>
              </w:rPr>
            </w:pPr>
            <w:r w:rsidRPr="00BB66A8">
              <w:rPr>
                <w:rFonts w:ascii="Times New Roman" w:hAnsi="Times New Roman" w:cs="Times New Roman"/>
                <w:sz w:val="18"/>
                <w:szCs w:val="18"/>
              </w:rPr>
              <w:t>5</w:t>
            </w:r>
            <w:r w:rsidR="00A2620A" w:rsidRPr="00BB66A8">
              <w:rPr>
                <w:rFonts w:ascii="Times New Roman" w:hAnsi="Times New Roman" w:cs="Times New Roman"/>
                <w:sz w:val="18"/>
                <w:szCs w:val="18"/>
              </w:rPr>
              <w:t>.52 ± 0.21</w:t>
            </w:r>
          </w:p>
        </w:tc>
        <w:tc>
          <w:tcPr>
            <w:tcW w:w="1170" w:type="dxa"/>
            <w:tcBorders>
              <w:top w:val="nil"/>
              <w:left w:val="nil"/>
              <w:bottom w:val="nil"/>
              <w:right w:val="nil"/>
            </w:tcBorders>
            <w:hideMark/>
          </w:tcPr>
          <w:p w14:paraId="21516036"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3.78 ± 0.13</w:t>
            </w:r>
          </w:p>
        </w:tc>
      </w:tr>
      <w:tr w:rsidR="00A2620A" w:rsidRPr="00BB66A8" w14:paraId="07484D65" w14:textId="77777777" w:rsidTr="00DE7C10">
        <w:trPr>
          <w:trHeight w:val="323"/>
        </w:trPr>
        <w:tc>
          <w:tcPr>
            <w:tcW w:w="1273" w:type="dxa"/>
            <w:tcBorders>
              <w:top w:val="nil"/>
              <w:left w:val="nil"/>
              <w:bottom w:val="single" w:sz="12" w:space="0" w:color="auto"/>
              <w:right w:val="nil"/>
            </w:tcBorders>
            <w:hideMark/>
          </w:tcPr>
          <w:p w14:paraId="6852FD8C" w14:textId="77777777" w:rsidR="00A2620A" w:rsidRPr="00BB66A8" w:rsidRDefault="00A2620A" w:rsidP="009F5868">
            <w:pPr>
              <w:jc w:val="center"/>
              <w:rPr>
                <w:rFonts w:ascii="Times New Roman" w:hAnsi="Times New Roman" w:cs="Times New Roman"/>
                <w:sz w:val="20"/>
                <w:szCs w:val="20"/>
              </w:rPr>
            </w:pPr>
            <w:r w:rsidRPr="00BB66A8">
              <w:rPr>
                <w:rFonts w:ascii="Times New Roman" w:hAnsi="Times New Roman" w:cs="Times New Roman"/>
                <w:sz w:val="20"/>
                <w:szCs w:val="20"/>
              </w:rPr>
              <w:t>3</w:t>
            </w:r>
          </w:p>
        </w:tc>
        <w:tc>
          <w:tcPr>
            <w:tcW w:w="1647" w:type="dxa"/>
            <w:tcBorders>
              <w:top w:val="nil"/>
              <w:left w:val="nil"/>
              <w:bottom w:val="single" w:sz="12" w:space="0" w:color="auto"/>
              <w:right w:val="nil"/>
            </w:tcBorders>
            <w:hideMark/>
          </w:tcPr>
          <w:p w14:paraId="52D5D3A7"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130.40 ± 18.39</w:t>
            </w:r>
          </w:p>
        </w:tc>
        <w:tc>
          <w:tcPr>
            <w:tcW w:w="1455" w:type="dxa"/>
            <w:tcBorders>
              <w:top w:val="nil"/>
              <w:left w:val="nil"/>
              <w:bottom w:val="single" w:sz="12" w:space="0" w:color="auto"/>
              <w:right w:val="nil"/>
            </w:tcBorders>
            <w:hideMark/>
          </w:tcPr>
          <w:p w14:paraId="702587CE" w14:textId="7904CA91" w:rsidR="00A2620A" w:rsidRPr="00BB66A8" w:rsidRDefault="00A2620A" w:rsidP="009F5868">
            <w:pPr>
              <w:jc w:val="center"/>
              <w:rPr>
                <w:rFonts w:ascii="Times New Roman" w:hAnsi="Times New Roman" w:cs="Times New Roman"/>
                <w:sz w:val="18"/>
                <w:szCs w:val="18"/>
              </w:rPr>
            </w:pPr>
            <w:r w:rsidRPr="00784406">
              <w:rPr>
                <w:rFonts w:ascii="Times New Roman" w:hAnsi="Times New Roman" w:cs="Times New Roman"/>
                <w:sz w:val="18"/>
                <w:szCs w:val="18"/>
              </w:rPr>
              <w:t>0.</w:t>
            </w:r>
            <w:r w:rsidR="00553102" w:rsidRPr="00784406">
              <w:rPr>
                <w:rFonts w:ascii="Times New Roman" w:hAnsi="Times New Roman" w:cs="Times New Roman"/>
                <w:sz w:val="18"/>
                <w:szCs w:val="18"/>
              </w:rPr>
              <w:t>60</w:t>
            </w:r>
            <w:r w:rsidRPr="00784406">
              <w:rPr>
                <w:rFonts w:ascii="Times New Roman" w:hAnsi="Times New Roman" w:cs="Times New Roman"/>
                <w:sz w:val="18"/>
                <w:szCs w:val="18"/>
              </w:rPr>
              <w:t xml:space="preserve"> ± 0.05</w:t>
            </w:r>
          </w:p>
        </w:tc>
        <w:tc>
          <w:tcPr>
            <w:tcW w:w="1213" w:type="dxa"/>
            <w:tcBorders>
              <w:top w:val="nil"/>
              <w:left w:val="nil"/>
              <w:bottom w:val="single" w:sz="12" w:space="0" w:color="auto"/>
              <w:right w:val="nil"/>
            </w:tcBorders>
            <w:hideMark/>
          </w:tcPr>
          <w:p w14:paraId="6AD7D761"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0.038</w:t>
            </w:r>
          </w:p>
        </w:tc>
        <w:tc>
          <w:tcPr>
            <w:tcW w:w="1775" w:type="dxa"/>
            <w:tcBorders>
              <w:top w:val="nil"/>
              <w:left w:val="nil"/>
              <w:bottom w:val="single" w:sz="12" w:space="0" w:color="auto"/>
              <w:right w:val="nil"/>
            </w:tcBorders>
            <w:hideMark/>
          </w:tcPr>
          <w:p w14:paraId="756E93A7"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320.08 ± 97.70</w:t>
            </w:r>
          </w:p>
        </w:tc>
        <w:tc>
          <w:tcPr>
            <w:tcW w:w="1257" w:type="dxa"/>
            <w:tcBorders>
              <w:top w:val="nil"/>
              <w:left w:val="nil"/>
              <w:bottom w:val="single" w:sz="12" w:space="0" w:color="auto"/>
              <w:right w:val="nil"/>
            </w:tcBorders>
            <w:hideMark/>
          </w:tcPr>
          <w:p w14:paraId="2E2371C5" w14:textId="563064E0" w:rsidR="00A2620A" w:rsidRPr="00BB66A8" w:rsidRDefault="00373DE1" w:rsidP="009F5868">
            <w:pPr>
              <w:jc w:val="center"/>
              <w:rPr>
                <w:rFonts w:ascii="Times New Roman" w:hAnsi="Times New Roman" w:cs="Times New Roman"/>
                <w:sz w:val="18"/>
                <w:szCs w:val="18"/>
              </w:rPr>
            </w:pPr>
            <w:r w:rsidRPr="00BB66A8">
              <w:rPr>
                <w:rFonts w:ascii="Times New Roman" w:hAnsi="Times New Roman" w:cs="Times New Roman"/>
                <w:sz w:val="18"/>
                <w:szCs w:val="18"/>
              </w:rPr>
              <w:t>5</w:t>
            </w:r>
            <w:r w:rsidR="00A2620A" w:rsidRPr="00BB66A8">
              <w:rPr>
                <w:rFonts w:ascii="Times New Roman" w:hAnsi="Times New Roman" w:cs="Times New Roman"/>
                <w:sz w:val="18"/>
                <w:szCs w:val="18"/>
              </w:rPr>
              <w:t>.46 ± 0.18</w:t>
            </w:r>
          </w:p>
        </w:tc>
        <w:tc>
          <w:tcPr>
            <w:tcW w:w="1170" w:type="dxa"/>
            <w:tcBorders>
              <w:top w:val="nil"/>
              <w:left w:val="nil"/>
              <w:bottom w:val="single" w:sz="12" w:space="0" w:color="auto"/>
              <w:right w:val="nil"/>
            </w:tcBorders>
            <w:hideMark/>
          </w:tcPr>
          <w:p w14:paraId="20D04F09" w14:textId="77777777" w:rsidR="00A2620A" w:rsidRPr="00BB66A8" w:rsidRDefault="00A2620A" w:rsidP="009F5868">
            <w:pPr>
              <w:jc w:val="center"/>
              <w:rPr>
                <w:rFonts w:ascii="Times New Roman" w:hAnsi="Times New Roman" w:cs="Times New Roman"/>
                <w:sz w:val="18"/>
                <w:szCs w:val="18"/>
              </w:rPr>
            </w:pPr>
            <w:r w:rsidRPr="00BB66A8">
              <w:rPr>
                <w:rFonts w:ascii="Times New Roman" w:hAnsi="Times New Roman" w:cs="Times New Roman"/>
                <w:sz w:val="18"/>
                <w:szCs w:val="18"/>
              </w:rPr>
              <w:t>3.76 ± 0.21</w:t>
            </w:r>
          </w:p>
          <w:p w14:paraId="7274D625" w14:textId="77777777" w:rsidR="00A2620A" w:rsidRPr="00BB66A8" w:rsidRDefault="00A2620A" w:rsidP="009F5868">
            <w:pPr>
              <w:jc w:val="center"/>
              <w:rPr>
                <w:rFonts w:ascii="Times New Roman" w:hAnsi="Times New Roman" w:cs="Times New Roman"/>
                <w:sz w:val="18"/>
                <w:szCs w:val="18"/>
              </w:rPr>
            </w:pPr>
          </w:p>
        </w:tc>
      </w:tr>
    </w:tbl>
    <w:p w14:paraId="638BC1E1" w14:textId="77777777" w:rsidR="002E36FD" w:rsidRDefault="00553102" w:rsidP="001A73BF">
      <w:pPr>
        <w:rPr>
          <w:rFonts w:ascii="Times New Roman" w:hAnsi="Times New Roman" w:cs="Times New Roman"/>
          <w:b/>
          <w:bCs/>
        </w:rPr>
      </w:pPr>
      <w:r w:rsidRPr="00BB66A8">
        <w:rPr>
          <w:rFonts w:ascii="Times New Roman" w:hAnsi="Times New Roman" w:cs="Times New Roman"/>
          <w:sz w:val="18"/>
          <w:szCs w:val="18"/>
          <w:lang w:val="en-US" w:eastAsia="it-IT"/>
        </w:rPr>
        <w:t>* The value is the average of 10 tablets. ± is the deviation standard.</w:t>
      </w:r>
      <w:r w:rsidR="002E36FD" w:rsidRPr="002E36FD">
        <w:rPr>
          <w:rFonts w:ascii="Times New Roman" w:hAnsi="Times New Roman" w:cs="Times New Roman"/>
          <w:b/>
          <w:bCs/>
        </w:rPr>
        <w:t xml:space="preserve"> </w:t>
      </w:r>
    </w:p>
    <w:p w14:paraId="048F45E3" w14:textId="77777777" w:rsidR="002E36FD" w:rsidRDefault="002E36FD" w:rsidP="001A73BF">
      <w:pPr>
        <w:rPr>
          <w:rFonts w:ascii="Times New Roman" w:hAnsi="Times New Roman" w:cs="Times New Roman"/>
          <w:lang w:val="en-US" w:eastAsia="it-IT"/>
        </w:rPr>
      </w:pPr>
    </w:p>
    <w:p w14:paraId="4A75FD6C" w14:textId="0EB5677D" w:rsidR="005B424D" w:rsidRPr="00BB66A8" w:rsidRDefault="00C23FAE" w:rsidP="001A73BF">
      <w:pPr>
        <w:rPr>
          <w:rFonts w:ascii="Times New Roman" w:hAnsi="Times New Roman" w:cs="Times New Roman"/>
          <w:lang w:val="en-US" w:eastAsia="it-IT"/>
        </w:rPr>
      </w:pPr>
      <w:r w:rsidRPr="00C23FAE">
        <w:rPr>
          <w:rFonts w:ascii="Times New Roman" w:hAnsi="Times New Roman" w:cs="Times New Roman"/>
          <w:lang w:val="en-US" w:eastAsia="it-IT"/>
        </w:rPr>
        <w:t>In addition, MT1, MT2, and MT3, produced by the DPE printing technique, satisfied the gastro-resistant solid form disintegration assay</w:t>
      </w:r>
      <w:r w:rsidRPr="00BB66A8">
        <w:rPr>
          <w:rFonts w:ascii="Times New Roman" w:hAnsi="Times New Roman" w:cs="Times New Roman"/>
          <w:color w:val="000000"/>
        </w:rPr>
        <w:t xml:space="preserve"> (</w:t>
      </w:r>
      <w:r>
        <w:rPr>
          <w:rFonts w:ascii="Times New Roman" w:hAnsi="Times New Roman" w:cs="Times New Roman"/>
          <w:noProof/>
          <w:color w:val="000000"/>
        </w:rPr>
        <w:t>F.U.I. XII Ed</w:t>
      </w:r>
      <w:r w:rsidRPr="00BB66A8">
        <w:rPr>
          <w:rFonts w:ascii="Times New Roman" w:hAnsi="Times New Roman" w:cs="Times New Roman"/>
          <w:color w:val="000000"/>
        </w:rPr>
        <w:t>.</w:t>
      </w:r>
      <w:r>
        <w:rPr>
          <w:rFonts w:ascii="Times New Roman" w:hAnsi="Times New Roman" w:cs="Times New Roman"/>
          <w:color w:val="000000"/>
        </w:rPr>
        <w:t>c</w:t>
      </w:r>
      <w:r w:rsidRPr="00BB66A8">
        <w:rPr>
          <w:rFonts w:ascii="Times New Roman" w:hAnsi="Times New Roman" w:cs="Times New Roman"/>
          <w:color w:val="000000"/>
        </w:rPr>
        <w:t>)</w:t>
      </w:r>
      <w:r w:rsidRPr="00C23FAE">
        <w:rPr>
          <w:rFonts w:ascii="Times New Roman" w:hAnsi="Times New Roman" w:cs="Times New Roman"/>
          <w:lang w:val="en-US" w:eastAsia="it-IT"/>
        </w:rPr>
        <w:t>. This was achieved thanks to the incorporation of</w:t>
      </w:r>
      <w:r>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the A</w:t>
      </w:r>
      <w:r w:rsidR="00A51723" w:rsidRPr="00BB66A8">
        <w:rPr>
          <w:rFonts w:ascii="Times New Roman" w:hAnsi="Times New Roman" w:cs="Times New Roman"/>
          <w:lang w:val="en-US" w:eastAsia="it-IT"/>
        </w:rPr>
        <w:t>B</w:t>
      </w:r>
      <w:r w:rsidR="00A2620A" w:rsidRPr="00BB66A8">
        <w:rPr>
          <w:rFonts w:ascii="Times New Roman" w:hAnsi="Times New Roman" w:cs="Times New Roman"/>
          <w:lang w:val="en-US" w:eastAsia="it-IT"/>
        </w:rPr>
        <w:t xml:space="preserve">, consisting mainly of sodium bicarbonate, into the hydrophilic polymer matrix </w:t>
      </w:r>
      <w:r w:rsidR="00982AA9">
        <w:rPr>
          <w:rFonts w:ascii="Times New Roman" w:hAnsi="Times New Roman" w:cs="Times New Roman"/>
          <w:lang w:val="en-US" w:eastAsia="it-IT"/>
        </w:rPr>
        <w:t xml:space="preserve">di HPMC </w:t>
      </w:r>
      <w:r w:rsidR="00432BE0" w:rsidRPr="00BB66A8">
        <w:rPr>
          <w:rFonts w:ascii="Times New Roman" w:hAnsi="Times New Roman" w:cs="Times New Roman"/>
          <w:color w:val="000000"/>
        </w:rPr>
        <w:t>(Xi et al., 2020)</w:t>
      </w:r>
      <w:r w:rsidR="00A2620A" w:rsidRPr="00BB66A8">
        <w:rPr>
          <w:rFonts w:ascii="Times New Roman" w:hAnsi="Times New Roman" w:cs="Times New Roman"/>
          <w:lang w:val="en-US" w:eastAsia="it-IT"/>
        </w:rPr>
        <w:t xml:space="preserve">. </w:t>
      </w:r>
      <w:r w:rsidR="00982AA9">
        <w:rPr>
          <w:rFonts w:ascii="Times New Roman" w:hAnsi="Times New Roman" w:cs="Times New Roman"/>
          <w:lang w:val="en-US" w:eastAsia="it-IT"/>
        </w:rPr>
        <w:t xml:space="preserve"> </w:t>
      </w:r>
      <w:r w:rsidR="00D304A2" w:rsidRPr="00D304A2">
        <w:rPr>
          <w:rFonts w:ascii="Times New Roman" w:hAnsi="Times New Roman" w:cs="Times New Roman"/>
          <w:lang w:val="en-US" w:eastAsia="it-IT"/>
        </w:rPr>
        <w:t>In fact, for the latter, it is well documented in the literature that, when placed in contact with aqueous media, it tends to swell, erode by mechanical friction, and/or dissolve at different times dependent on both the conditions of the external aqueous environment and the physicochemical characteristics of the polymer (Maroni et al., 2016; Siepmann and Peppas, 2012).</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 xml:space="preserve">Among them, the hydration and viscosity properties play an important role in the disaggregation process as they induce the formation of a gel layer with a variable thickness </w:t>
      </w:r>
      <w:r w:rsidR="00432BE0" w:rsidRPr="00BB66A8">
        <w:rPr>
          <w:rFonts w:ascii="Times New Roman" w:hAnsi="Times New Roman" w:cs="Times New Roman"/>
          <w:color w:val="000000"/>
        </w:rPr>
        <w:t>(Maroni et al., 2016)</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Therefore, the HPMC</w:t>
      </w:r>
      <w:r w:rsidR="002013F2">
        <w:rPr>
          <w:rFonts w:ascii="Times New Roman" w:hAnsi="Times New Roman" w:cs="Times New Roman"/>
          <w:lang w:val="en-US" w:eastAsia="it-IT"/>
        </w:rPr>
        <w:t xml:space="preserve"> is involved in </w:t>
      </w:r>
      <w:r w:rsidR="00A2620A" w:rsidRPr="00BB66A8">
        <w:rPr>
          <w:rFonts w:ascii="Times New Roman" w:hAnsi="Times New Roman" w:cs="Times New Roman"/>
          <w:lang w:val="en-US" w:eastAsia="it-IT"/>
        </w:rPr>
        <w:t>slow disintegration</w:t>
      </w:r>
      <w:r w:rsidR="002013F2">
        <w:rPr>
          <w:rFonts w:ascii="Times New Roman" w:hAnsi="Times New Roman" w:cs="Times New Roman"/>
          <w:lang w:val="en-US" w:eastAsia="it-IT"/>
        </w:rPr>
        <w:t xml:space="preserve"> due to</w:t>
      </w:r>
      <w:r w:rsidR="00A2620A" w:rsidRPr="00BB66A8">
        <w:rPr>
          <w:rFonts w:ascii="Times New Roman" w:hAnsi="Times New Roman" w:cs="Times New Roman"/>
          <w:lang w:val="en-US" w:eastAsia="it-IT"/>
        </w:rPr>
        <w:t xml:space="preserve"> its gel-forming nature</w:t>
      </w:r>
      <w:r w:rsidR="002013F2">
        <w:rPr>
          <w:rFonts w:ascii="Times New Roman" w:hAnsi="Times New Roman" w:cs="Times New Roman"/>
          <w:lang w:val="en-US" w:eastAsia="it-IT"/>
        </w:rPr>
        <w:t xml:space="preserve"> that causes</w:t>
      </w:r>
      <w:r w:rsidR="00656BB6" w:rsidRPr="00BB66A8">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the formation of a very dense gel layer </w:t>
      </w:r>
      <w:r w:rsidR="00432BE0" w:rsidRPr="00BB66A8">
        <w:rPr>
          <w:rFonts w:ascii="Times New Roman" w:hAnsi="Times New Roman" w:cs="Times New Roman"/>
          <w:color w:val="000000"/>
        </w:rPr>
        <w:t>(Pistone et al., 2022)</w:t>
      </w:r>
      <w:r w:rsidR="00A2620A" w:rsidRPr="00BB66A8">
        <w:rPr>
          <w:rFonts w:ascii="Times New Roman" w:hAnsi="Times New Roman" w:cs="Times New Roman"/>
          <w:lang w:val="en-US" w:eastAsia="it-IT"/>
        </w:rPr>
        <w:t>. Kajiyama et al.</w:t>
      </w:r>
      <w:r w:rsidR="0092367D" w:rsidRPr="00BB66A8">
        <w:rPr>
          <w:rFonts w:ascii="Times New Roman" w:hAnsi="Times New Roman" w:cs="Times New Roman"/>
          <w:lang w:val="en-US" w:eastAsia="it-IT"/>
        </w:rPr>
        <w:t xml:space="preserve"> </w:t>
      </w:r>
      <w:r w:rsidR="00656BB6" w:rsidRPr="00BB66A8">
        <w:rPr>
          <w:rFonts w:ascii="Times New Roman" w:hAnsi="Times New Roman" w:cs="Times New Roman"/>
          <w:lang w:val="en-US" w:eastAsia="it-IT"/>
        </w:rPr>
        <w:t>reported</w:t>
      </w:r>
      <w:r w:rsidR="00A2620A" w:rsidRPr="00BB66A8">
        <w:rPr>
          <w:rFonts w:ascii="Times New Roman" w:hAnsi="Times New Roman" w:cs="Times New Roman"/>
          <w:lang w:val="en-US" w:eastAsia="it-IT"/>
        </w:rPr>
        <w:t xml:space="preserve"> that the disintegration of HPMC matrix tablets was faster and more efficient as a result of the inclusion of inorganic salts in their composition </w:t>
      </w:r>
      <w:r w:rsidR="00432BE0" w:rsidRPr="00BB66A8">
        <w:rPr>
          <w:rFonts w:ascii="Times New Roman" w:hAnsi="Times New Roman" w:cs="Times New Roman"/>
          <w:color w:val="000000"/>
        </w:rPr>
        <w:t>(Kajiyama et al., 2008)</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In fact, the salts influence the solubility of the polymer due to their dehydrating effect, denoted as “salting-out”, which allow</w:t>
      </w:r>
      <w:r w:rsidR="002013F2">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them to compete with the polymer for interactions with water </w:t>
      </w:r>
      <w:r w:rsidR="00432BE0" w:rsidRPr="00BB66A8">
        <w:rPr>
          <w:rFonts w:ascii="Times New Roman" w:hAnsi="Times New Roman" w:cs="Times New Roman"/>
          <w:color w:val="000000"/>
        </w:rPr>
        <w:t>(Takano et al., 2020)</w:t>
      </w:r>
      <w:r w:rsidR="00A2620A" w:rsidRPr="00BB66A8">
        <w:rPr>
          <w:rFonts w:ascii="Times New Roman" w:hAnsi="Times New Roman" w:cs="Times New Roman"/>
          <w:lang w:val="en-US" w:eastAsia="it-IT"/>
        </w:rPr>
        <w:t>. The salts b</w:t>
      </w:r>
      <w:r w:rsidR="002013F2">
        <w:rPr>
          <w:rFonts w:ascii="Times New Roman" w:hAnsi="Times New Roman" w:cs="Times New Roman"/>
          <w:lang w:val="en-US" w:eastAsia="it-IT"/>
        </w:rPr>
        <w:t>ind</w:t>
      </w:r>
      <w:r w:rsidR="00A2620A" w:rsidRPr="00BB66A8">
        <w:rPr>
          <w:rFonts w:ascii="Times New Roman" w:hAnsi="Times New Roman" w:cs="Times New Roman"/>
          <w:lang w:val="en-US" w:eastAsia="it-IT"/>
        </w:rPr>
        <w:t xml:space="preserve"> water</w:t>
      </w:r>
      <w:r w:rsidR="002013F2">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forming ordered hydric structures that induce the dehydration of the gel layer and the self-association of the polymer's hydrophobic chains </w:t>
      </w:r>
      <w:r w:rsidR="00432BE0" w:rsidRPr="00BB66A8">
        <w:rPr>
          <w:rFonts w:ascii="Times New Roman" w:hAnsi="Times New Roman" w:cs="Times New Roman"/>
          <w:color w:val="000000"/>
        </w:rPr>
        <w:t>(Takano et al., 2020)</w:t>
      </w:r>
      <w:r w:rsidR="00A2620A" w:rsidRPr="00BB66A8">
        <w:rPr>
          <w:rFonts w:ascii="Times New Roman" w:hAnsi="Times New Roman" w:cs="Times New Roman"/>
          <w:lang w:val="en-US" w:eastAsia="it-IT"/>
        </w:rPr>
        <w:t>. Among all inorganic salts, sodium bicarbonate</w:t>
      </w:r>
      <w:r w:rsidR="003B4792">
        <w:rPr>
          <w:rFonts w:ascii="Times New Roman" w:hAnsi="Times New Roman" w:cs="Times New Roman"/>
          <w:lang w:val="en-US" w:eastAsia="it-IT"/>
        </w:rPr>
        <w:t>, which is present in the AB component of the powder mixtures,</w:t>
      </w:r>
      <w:r w:rsidR="00A2620A" w:rsidRPr="00BB66A8">
        <w:rPr>
          <w:rFonts w:ascii="Times New Roman" w:hAnsi="Times New Roman" w:cs="Times New Roman"/>
          <w:lang w:val="en-US" w:eastAsia="it-IT"/>
        </w:rPr>
        <w:t xml:space="preserve"> possesse</w:t>
      </w:r>
      <w:r w:rsidR="003B4792">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a high dehydrating power, which could depend partly on its ionic effect and also on its ability to generate carbon dioxide (CO</w:t>
      </w:r>
      <w:r w:rsidR="00A2620A" w:rsidRPr="00BB66A8">
        <w:rPr>
          <w:rFonts w:ascii="Times New Roman" w:hAnsi="Times New Roman" w:cs="Times New Roman"/>
          <w:vertAlign w:val="subscript"/>
          <w:lang w:val="en-US" w:eastAsia="it-IT"/>
        </w:rPr>
        <w:t>2</w:t>
      </w:r>
      <w:r w:rsidR="00A2620A" w:rsidRPr="00BB66A8">
        <w:rPr>
          <w:rFonts w:ascii="Times New Roman" w:hAnsi="Times New Roman" w:cs="Times New Roman"/>
          <w:lang w:val="en-US" w:eastAsia="it-IT"/>
        </w:rPr>
        <w:t xml:space="preserve">) in an acidic environment (HCl) </w:t>
      </w:r>
      <w:r w:rsidR="00432BE0" w:rsidRPr="00BB66A8">
        <w:rPr>
          <w:rFonts w:ascii="Times New Roman" w:hAnsi="Times New Roman" w:cs="Times New Roman"/>
          <w:color w:val="000000"/>
        </w:rPr>
        <w:t>(Xi et al., 2020)</w:t>
      </w:r>
      <w:r w:rsidR="00A2620A" w:rsidRPr="00BB66A8">
        <w:rPr>
          <w:rFonts w:ascii="Times New Roman" w:hAnsi="Times New Roman" w:cs="Times New Roman"/>
          <w:lang w:val="en-US" w:eastAsia="it-IT"/>
        </w:rPr>
        <w:t>.</w:t>
      </w:r>
      <w:r w:rsidR="003B4792">
        <w:rPr>
          <w:rFonts w:ascii="Times New Roman" w:hAnsi="Times New Roman" w:cs="Times New Roman"/>
          <w:lang w:val="en-US" w:eastAsia="it-IT"/>
        </w:rPr>
        <w:t xml:space="preserve"> Moreover</w:t>
      </w:r>
      <w:r w:rsidR="00A2620A" w:rsidRPr="00BB66A8">
        <w:rPr>
          <w:rFonts w:ascii="Times New Roman" w:hAnsi="Times New Roman" w:cs="Times New Roman"/>
          <w:lang w:val="en-US" w:eastAsia="it-IT"/>
        </w:rPr>
        <w:t>, bicarbonate effervescence improve</w:t>
      </w:r>
      <w:r w:rsidR="003B4792">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in the presence of tartaric acid and citric acid</w:t>
      </w:r>
      <w:r w:rsidR="003B4792">
        <w:rPr>
          <w:rFonts w:ascii="Times New Roman" w:hAnsi="Times New Roman" w:cs="Times New Roman"/>
          <w:lang w:val="en-US" w:eastAsia="it-IT"/>
        </w:rPr>
        <w:t xml:space="preserve"> </w:t>
      </w:r>
      <w:r w:rsidR="003B4792">
        <w:rPr>
          <w:rFonts w:ascii="Times New Roman" w:hAnsi="Times New Roman" w:cs="Times New Roman"/>
          <w:lang w:val="en-US" w:eastAsia="it-IT"/>
        </w:rPr>
        <w:lastRenderedPageBreak/>
        <w:t>(</w:t>
      </w:r>
      <w:r w:rsidR="003B4792" w:rsidRPr="00BB66A8">
        <w:rPr>
          <w:rFonts w:ascii="Times New Roman" w:hAnsi="Times New Roman" w:cs="Times New Roman"/>
          <w:lang w:val="en-US" w:eastAsia="it-IT"/>
        </w:rPr>
        <w:t>the other components of AB</w:t>
      </w:r>
      <w:r w:rsidR="003B4792">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w:t>
      </w:r>
      <w:r w:rsidR="00A2620A" w:rsidRPr="00BB66A8">
        <w:rPr>
          <w:rFonts w:ascii="Times New Roman" w:hAnsi="Times New Roman" w:cs="Times New Roman"/>
          <w:noProof/>
          <w:color w:val="auto"/>
          <w:lang w:val="en-US" w:eastAsia="it-IT"/>
        </w:rPr>
        <w:t>(Pereira et al., 2017)</w:t>
      </w:r>
      <w:r w:rsidR="00A2620A" w:rsidRPr="00BB66A8">
        <w:rPr>
          <w:rFonts w:ascii="Times New Roman" w:hAnsi="Times New Roman" w:cs="Times New Roman"/>
          <w:lang w:val="en-US" w:eastAsia="it-IT"/>
        </w:rPr>
        <w:t>, and under</w:t>
      </w:r>
      <w:r w:rsidR="003B4792">
        <w:rPr>
          <w:rFonts w:ascii="Times New Roman" w:hAnsi="Times New Roman" w:cs="Times New Roman"/>
          <w:lang w:val="en-US" w:eastAsia="it-IT"/>
        </w:rPr>
        <w:t>goes</w:t>
      </w:r>
      <w:r w:rsidR="00A2620A" w:rsidRPr="00BB66A8">
        <w:rPr>
          <w:rFonts w:ascii="Times New Roman" w:hAnsi="Times New Roman" w:cs="Times New Roman"/>
          <w:lang w:val="en-US" w:eastAsia="it-IT"/>
        </w:rPr>
        <w:t xml:space="preserve"> an additional enhancement when applied in conjunction with more common fusion techniques, such as HME </w:t>
      </w:r>
      <w:r w:rsidR="00432BE0" w:rsidRPr="00BB66A8">
        <w:rPr>
          <w:rFonts w:ascii="Times New Roman" w:hAnsi="Times New Roman" w:cs="Times New Roman"/>
          <w:color w:val="000000"/>
        </w:rPr>
        <w:t>(Alam et al., 2015; Lima et al., 2020)</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w:t>
      </w:r>
      <w:r w:rsidR="003B4792">
        <w:rPr>
          <w:rFonts w:ascii="Times New Roman" w:hAnsi="Times New Roman" w:cs="Times New Roman"/>
          <w:lang w:val="en-US" w:eastAsia="it-IT"/>
        </w:rPr>
        <w:t>For these reasons</w:t>
      </w:r>
      <w:r w:rsidR="00A2620A" w:rsidRPr="00BB66A8">
        <w:rPr>
          <w:rFonts w:ascii="Times New Roman" w:hAnsi="Times New Roman" w:cs="Times New Roman"/>
          <w:lang w:val="en-US" w:eastAsia="it-IT"/>
        </w:rPr>
        <w:t>,</w:t>
      </w:r>
      <w:r w:rsidR="003B4792">
        <w:rPr>
          <w:rFonts w:ascii="Times New Roman" w:hAnsi="Times New Roman" w:cs="Times New Roman"/>
          <w:lang w:val="en-US" w:eastAsia="it-IT"/>
        </w:rPr>
        <w:t xml:space="preserve"> due to incorporation of AB, the </w:t>
      </w:r>
      <w:r w:rsidR="00A2620A" w:rsidRPr="00BB66A8">
        <w:rPr>
          <w:rFonts w:ascii="Times New Roman" w:hAnsi="Times New Roman" w:cs="Times New Roman"/>
          <w:lang w:val="en-US" w:eastAsia="it-IT"/>
        </w:rPr>
        <w:t>HPMC-based MT</w:t>
      </w:r>
      <w:r w:rsidR="007D7BFC">
        <w:rPr>
          <w:rFonts w:ascii="Times New Roman" w:hAnsi="Times New Roman" w:cs="Times New Roman"/>
          <w:lang w:val="en-US" w:eastAsia="it-IT"/>
        </w:rPr>
        <w:t>s</w:t>
      </w:r>
      <w:r w:rsidR="00A2620A" w:rsidRPr="00BB66A8">
        <w:rPr>
          <w:rFonts w:ascii="Times New Roman" w:hAnsi="Times New Roman" w:cs="Times New Roman"/>
          <w:lang w:val="en-US" w:eastAsia="it-IT"/>
        </w:rPr>
        <w:t>, obtained by the innovative DPE hot-melt technique, successfully satisfied the disaggregation assay, required by F</w:t>
      </w:r>
      <w:r w:rsidR="0092367D" w:rsidRPr="00BB66A8">
        <w:rPr>
          <w:rFonts w:ascii="Times New Roman" w:hAnsi="Times New Roman" w:cs="Times New Roman"/>
          <w:lang w:val="en-US" w:eastAsia="it-IT"/>
        </w:rPr>
        <w:t>.</w:t>
      </w:r>
      <w:r w:rsidR="00A2620A" w:rsidRPr="00BB66A8">
        <w:rPr>
          <w:rFonts w:ascii="Times New Roman" w:hAnsi="Times New Roman" w:cs="Times New Roman"/>
          <w:lang w:val="en-US" w:eastAsia="it-IT"/>
        </w:rPr>
        <w:t>U</w:t>
      </w:r>
      <w:r w:rsidR="0092367D" w:rsidRPr="00BB66A8">
        <w:rPr>
          <w:rFonts w:ascii="Times New Roman" w:hAnsi="Times New Roman" w:cs="Times New Roman"/>
          <w:lang w:val="en-US" w:eastAsia="it-IT"/>
        </w:rPr>
        <w:t>.</w:t>
      </w:r>
      <w:r w:rsidR="00A2620A" w:rsidRPr="00BB66A8">
        <w:rPr>
          <w:rFonts w:ascii="Times New Roman" w:hAnsi="Times New Roman" w:cs="Times New Roman"/>
          <w:lang w:val="en-US" w:eastAsia="it-IT"/>
        </w:rPr>
        <w:t>I</w:t>
      </w:r>
      <w:r w:rsidR="0092367D" w:rsidRPr="00BB66A8">
        <w:rPr>
          <w:rFonts w:ascii="Times New Roman" w:hAnsi="Times New Roman" w:cs="Times New Roman"/>
          <w:lang w:val="en-US" w:eastAsia="it-IT"/>
        </w:rPr>
        <w:t>.</w:t>
      </w:r>
      <w:r w:rsidR="00A2620A" w:rsidRPr="00BB66A8">
        <w:rPr>
          <w:rFonts w:ascii="Times New Roman" w:hAnsi="Times New Roman" w:cs="Times New Roman"/>
          <w:lang w:val="en-US" w:eastAsia="it-IT"/>
        </w:rPr>
        <w:t>,</w:t>
      </w:r>
      <w:r w:rsidR="003B4792">
        <w:rPr>
          <w:rFonts w:ascii="Times New Roman" w:hAnsi="Times New Roman" w:cs="Times New Roman"/>
          <w:lang w:val="en-US" w:eastAsia="it-IT"/>
        </w:rPr>
        <w:t xml:space="preserve"> </w:t>
      </w:r>
      <w:r w:rsidR="001877F2" w:rsidRPr="00BB66A8">
        <w:rPr>
          <w:rFonts w:ascii="Times New Roman" w:hAnsi="Times New Roman" w:cs="Times New Roman"/>
          <w:lang w:val="en-US" w:eastAsia="it-IT"/>
        </w:rPr>
        <w:t xml:space="preserve">resulting </w:t>
      </w:r>
      <w:r w:rsidR="00A2620A" w:rsidRPr="00BB66A8">
        <w:rPr>
          <w:rFonts w:ascii="Times New Roman" w:hAnsi="Times New Roman" w:cs="Times New Roman"/>
          <w:lang w:val="en-US" w:eastAsia="it-IT"/>
        </w:rPr>
        <w:t>in a reduction of polymer swelling and an increase in its solubility.</w:t>
      </w:r>
    </w:p>
    <w:p w14:paraId="764CA7D9" w14:textId="3183D1AB" w:rsidR="00A2620A" w:rsidRDefault="00A2620A" w:rsidP="001A73BF">
      <w:pPr>
        <w:rPr>
          <w:rFonts w:ascii="Times New Roman" w:hAnsi="Times New Roman" w:cs="Times New Roman"/>
          <w:lang w:val="en-US" w:eastAsia="it-IT"/>
        </w:rPr>
      </w:pPr>
      <w:r w:rsidRPr="00BB66A8">
        <w:rPr>
          <w:rFonts w:ascii="Times New Roman" w:hAnsi="Times New Roman" w:cs="Times New Roman"/>
          <w:lang w:val="en-US" w:eastAsia="it-IT"/>
        </w:rPr>
        <w:t>The 3D MT</w:t>
      </w:r>
      <w:r w:rsidR="001877F2" w:rsidRPr="00BB66A8">
        <w:rPr>
          <w:rFonts w:ascii="Times New Roman" w:hAnsi="Times New Roman" w:cs="Times New Roman"/>
          <w:lang w:val="en-US" w:eastAsia="it-IT"/>
        </w:rPr>
        <w:t>s</w:t>
      </w:r>
      <w:r w:rsidRPr="00BB66A8">
        <w:rPr>
          <w:rFonts w:ascii="Times New Roman" w:hAnsi="Times New Roman" w:cs="Times New Roman"/>
          <w:lang w:val="en-US" w:eastAsia="it-IT"/>
        </w:rPr>
        <w:t xml:space="preserve"> images obtained by SEM showed a compact and uniform surface with a slight degree of roughness probably due to the inclusion of A</w:t>
      </w:r>
      <w:r w:rsidR="00B91F5A" w:rsidRPr="00BB66A8">
        <w:rPr>
          <w:rFonts w:ascii="Times New Roman" w:hAnsi="Times New Roman" w:cs="Times New Roman"/>
          <w:lang w:val="en-US" w:eastAsia="it-IT"/>
        </w:rPr>
        <w:t>B</w:t>
      </w:r>
      <w:r w:rsidRPr="00BB66A8">
        <w:rPr>
          <w:rFonts w:ascii="Times New Roman" w:hAnsi="Times New Roman" w:cs="Times New Roman"/>
          <w:lang w:val="en-US" w:eastAsia="it-IT"/>
        </w:rPr>
        <w:t xml:space="preserve"> within all the formulations (Fig. 3, </w:t>
      </w:r>
      <w:r w:rsidR="00DB4393" w:rsidRPr="00BB66A8">
        <w:rPr>
          <w:rFonts w:ascii="Times New Roman" w:hAnsi="Times New Roman" w:cs="Times New Roman"/>
          <w:lang w:val="en-US" w:eastAsia="it-IT"/>
        </w:rPr>
        <w:t>MT1(</w:t>
      </w:r>
      <w:r w:rsidR="00B91F5A" w:rsidRPr="00BB66A8">
        <w:rPr>
          <w:rFonts w:ascii="Times New Roman" w:hAnsi="Times New Roman" w:cs="Times New Roman"/>
          <w:lang w:val="en-US" w:eastAsia="it-IT"/>
        </w:rPr>
        <w:t>A</w:t>
      </w:r>
      <w:r w:rsidR="00DB4393" w:rsidRPr="00BB66A8">
        <w:rPr>
          <w:rFonts w:ascii="Times New Roman" w:hAnsi="Times New Roman" w:cs="Times New Roman"/>
          <w:lang w:val="en-US" w:eastAsia="it-IT"/>
        </w:rPr>
        <w:t>I), MT2(</w:t>
      </w:r>
      <w:r w:rsidR="00B91F5A" w:rsidRPr="00BB66A8">
        <w:rPr>
          <w:rFonts w:ascii="Times New Roman" w:hAnsi="Times New Roman" w:cs="Times New Roman"/>
          <w:lang w:val="en-US" w:eastAsia="it-IT"/>
        </w:rPr>
        <w:t>B</w:t>
      </w:r>
      <w:r w:rsidR="00DB4393" w:rsidRPr="00BB66A8">
        <w:rPr>
          <w:rFonts w:ascii="Times New Roman" w:hAnsi="Times New Roman" w:cs="Times New Roman"/>
          <w:lang w:val="en-US" w:eastAsia="it-IT"/>
        </w:rPr>
        <w:t>I), MT3(</w:t>
      </w:r>
      <w:r w:rsidR="00B91F5A" w:rsidRPr="00BB66A8">
        <w:rPr>
          <w:rFonts w:ascii="Times New Roman" w:hAnsi="Times New Roman" w:cs="Times New Roman"/>
          <w:lang w:val="en-US" w:eastAsia="it-IT"/>
        </w:rPr>
        <w:t>C</w:t>
      </w:r>
      <w:r w:rsidR="00DB4393" w:rsidRPr="00BB66A8">
        <w:rPr>
          <w:rFonts w:ascii="Times New Roman" w:hAnsi="Times New Roman" w:cs="Times New Roman"/>
          <w:lang w:val="en-US" w:eastAsia="it-IT"/>
        </w:rPr>
        <w:t>I)</w:t>
      </w:r>
      <w:r w:rsidRPr="00BB66A8">
        <w:rPr>
          <w:rFonts w:ascii="Times New Roman" w:hAnsi="Times New Roman" w:cs="Times New Roman"/>
          <w:lang w:val="en-US" w:eastAsia="it-IT"/>
        </w:rPr>
        <w:t>). This was most evident in MT1 (AI) where the amount of A</w:t>
      </w:r>
      <w:r w:rsidR="00B91F5A" w:rsidRPr="00BB66A8">
        <w:rPr>
          <w:rFonts w:ascii="Times New Roman" w:hAnsi="Times New Roman" w:cs="Times New Roman"/>
          <w:lang w:val="en-US" w:eastAsia="it-IT"/>
        </w:rPr>
        <w:t>B</w:t>
      </w:r>
      <w:r w:rsidRPr="00BB66A8">
        <w:rPr>
          <w:rFonts w:ascii="Times New Roman" w:hAnsi="Times New Roman" w:cs="Times New Roman"/>
          <w:lang w:val="en-US" w:eastAsia="it-IT"/>
        </w:rPr>
        <w:t xml:space="preserve"> present was significantly higher than in the other two formulations. In addition, the cross-sectional images of the MT revealed layers with a thickness of 0.2 mm that were perfectly fused and compacted with each other, which allowed </w:t>
      </w:r>
      <w:r w:rsidR="003B4792" w:rsidRPr="00BB66A8">
        <w:rPr>
          <w:rFonts w:ascii="Times New Roman" w:hAnsi="Times New Roman" w:cs="Times New Roman"/>
          <w:lang w:val="en-US" w:eastAsia="it-IT"/>
        </w:rPr>
        <w:t>faithfully reprodu</w:t>
      </w:r>
      <w:r w:rsidR="003B4792">
        <w:rPr>
          <w:rFonts w:ascii="Times New Roman" w:hAnsi="Times New Roman" w:cs="Times New Roman"/>
          <w:lang w:val="en-US" w:eastAsia="it-IT"/>
        </w:rPr>
        <w:t>ction of</w:t>
      </w:r>
      <w:r w:rsidR="003B4792" w:rsidRPr="00BB66A8">
        <w:rPr>
          <w:rFonts w:ascii="Times New Roman" w:hAnsi="Times New Roman" w:cs="Times New Roman"/>
          <w:lang w:val="en-US" w:eastAsia="it-IT"/>
        </w:rPr>
        <w:t xml:space="preserve"> </w:t>
      </w:r>
      <w:r w:rsidRPr="00BB66A8">
        <w:rPr>
          <w:rFonts w:ascii="Times New Roman" w:hAnsi="Times New Roman" w:cs="Times New Roman"/>
          <w:lang w:val="en-US" w:eastAsia="it-IT"/>
        </w:rPr>
        <w:t>the cylindrical geometry</w:t>
      </w:r>
      <w:r w:rsidR="003B4792">
        <w:rPr>
          <w:rFonts w:ascii="Times New Roman" w:hAnsi="Times New Roman" w:cs="Times New Roman"/>
          <w:lang w:val="en-US" w:eastAsia="it-IT"/>
        </w:rPr>
        <w:t xml:space="preserve"> </w:t>
      </w:r>
      <w:r w:rsidR="00286BA3" w:rsidRPr="00BB66A8">
        <w:rPr>
          <w:rFonts w:ascii="Times New Roman" w:hAnsi="Times New Roman" w:cs="Times New Roman"/>
          <w:lang w:val="en-US" w:eastAsia="it-IT"/>
        </w:rPr>
        <w:t>set</w:t>
      </w:r>
      <w:r w:rsidRPr="00BB66A8">
        <w:rPr>
          <w:rFonts w:ascii="Times New Roman" w:hAnsi="Times New Roman" w:cs="Times New Roman"/>
          <w:lang w:val="en-US" w:eastAsia="it-IT"/>
        </w:rPr>
        <w:t xml:space="preserve"> in the G-Code</w:t>
      </w:r>
      <w:r w:rsidR="003B4792">
        <w:rPr>
          <w:rFonts w:ascii="Times New Roman" w:hAnsi="Times New Roman" w:cs="Times New Roman"/>
          <w:lang w:val="en-US" w:eastAsia="it-IT"/>
        </w:rPr>
        <w:t xml:space="preserve"> </w:t>
      </w:r>
      <w:r w:rsidRPr="00BB66A8">
        <w:rPr>
          <w:rFonts w:ascii="Times New Roman" w:hAnsi="Times New Roman" w:cs="Times New Roman"/>
          <w:lang w:val="en-US" w:eastAsia="it-IT"/>
        </w:rPr>
        <w:t xml:space="preserve">(Fig. 3, </w:t>
      </w:r>
      <w:r w:rsidR="00DB4393" w:rsidRPr="00BB66A8">
        <w:rPr>
          <w:rFonts w:ascii="Times New Roman" w:hAnsi="Times New Roman" w:cs="Times New Roman"/>
          <w:lang w:val="en-US" w:eastAsia="it-IT"/>
        </w:rPr>
        <w:t>MT1(</w:t>
      </w:r>
      <w:r w:rsidR="00B91F5A" w:rsidRPr="00BB66A8">
        <w:rPr>
          <w:rFonts w:ascii="Times New Roman" w:hAnsi="Times New Roman" w:cs="Times New Roman"/>
          <w:lang w:val="en-US" w:eastAsia="it-IT"/>
        </w:rPr>
        <w:t>A</w:t>
      </w:r>
      <w:r w:rsidR="00DB4393" w:rsidRPr="00BB66A8">
        <w:rPr>
          <w:rFonts w:ascii="Times New Roman" w:hAnsi="Times New Roman" w:cs="Times New Roman"/>
          <w:lang w:val="en-US" w:eastAsia="it-IT"/>
        </w:rPr>
        <w:t>II), MT2(</w:t>
      </w:r>
      <w:r w:rsidR="00B91F5A" w:rsidRPr="00BB66A8">
        <w:rPr>
          <w:rFonts w:ascii="Times New Roman" w:hAnsi="Times New Roman" w:cs="Times New Roman"/>
          <w:lang w:val="en-US" w:eastAsia="it-IT"/>
        </w:rPr>
        <w:t>B</w:t>
      </w:r>
      <w:r w:rsidR="00DB4393" w:rsidRPr="00BB66A8">
        <w:rPr>
          <w:rFonts w:ascii="Times New Roman" w:hAnsi="Times New Roman" w:cs="Times New Roman"/>
          <w:lang w:val="en-US" w:eastAsia="it-IT"/>
        </w:rPr>
        <w:t>II), MT3(</w:t>
      </w:r>
      <w:r w:rsidR="00B91F5A" w:rsidRPr="00BB66A8">
        <w:rPr>
          <w:rFonts w:ascii="Times New Roman" w:hAnsi="Times New Roman" w:cs="Times New Roman"/>
          <w:lang w:val="en-US" w:eastAsia="it-IT"/>
        </w:rPr>
        <w:t>C</w:t>
      </w:r>
      <w:r w:rsidR="00DB4393" w:rsidRPr="00BB66A8">
        <w:rPr>
          <w:rFonts w:ascii="Times New Roman" w:hAnsi="Times New Roman" w:cs="Times New Roman"/>
          <w:lang w:val="en-US" w:eastAsia="it-IT"/>
        </w:rPr>
        <w:t>II)</w:t>
      </w:r>
      <w:r w:rsidRPr="00BB66A8">
        <w:rPr>
          <w:rFonts w:ascii="Times New Roman" w:hAnsi="Times New Roman" w:cs="Times New Roman"/>
          <w:lang w:val="en-US" w:eastAsia="it-IT"/>
        </w:rPr>
        <w:t>).</w:t>
      </w:r>
    </w:p>
    <w:p w14:paraId="290F6C0F" w14:textId="77777777" w:rsidR="00755214" w:rsidRPr="00BB66A8" w:rsidRDefault="00755214" w:rsidP="001A73BF">
      <w:pPr>
        <w:rPr>
          <w:rFonts w:ascii="Times New Roman" w:hAnsi="Times New Roman" w:cs="Times New Roman"/>
          <w:lang w:val="en-US" w:eastAsia="it-IT"/>
        </w:rPr>
      </w:pPr>
    </w:p>
    <w:p w14:paraId="6E181AC0" w14:textId="5935547B" w:rsidR="00755214" w:rsidRPr="00755214" w:rsidRDefault="00755214" w:rsidP="00755214">
      <w:pPr>
        <w:jc w:val="center"/>
        <w:rPr>
          <w:rFonts w:ascii="Times New Roman" w:hAnsi="Times New Roman" w:cs="Times New Roman"/>
          <w:b/>
          <w:bCs/>
          <w:lang w:val="en-US" w:eastAsia="it-IT"/>
        </w:rPr>
      </w:pPr>
      <w:r w:rsidRPr="00755214">
        <w:rPr>
          <w:rFonts w:ascii="Times New Roman" w:hAnsi="Times New Roman" w:cs="Times New Roman"/>
          <w:b/>
          <w:bCs/>
          <w:noProof/>
          <w:lang w:val="it-IT" w:eastAsia="it-IT"/>
        </w:rPr>
        <w:t xml:space="preserve">&lt;&lt; </w:t>
      </w:r>
      <w:r>
        <w:rPr>
          <w:rFonts w:ascii="Times New Roman" w:hAnsi="Times New Roman" w:cs="Times New Roman"/>
          <w:b/>
          <w:bCs/>
          <w:noProof/>
          <w:lang w:val="it-IT" w:eastAsia="it-IT"/>
        </w:rPr>
        <w:t>I</w:t>
      </w:r>
      <w:r w:rsidRPr="00755214">
        <w:rPr>
          <w:rFonts w:ascii="Times New Roman" w:hAnsi="Times New Roman" w:cs="Times New Roman"/>
          <w:b/>
          <w:bCs/>
          <w:noProof/>
          <w:lang w:val="it-IT" w:eastAsia="it-IT"/>
        </w:rPr>
        <w:t xml:space="preserve">nsert Fig. </w:t>
      </w:r>
      <w:r>
        <w:rPr>
          <w:rFonts w:ascii="Times New Roman" w:hAnsi="Times New Roman" w:cs="Times New Roman"/>
          <w:b/>
          <w:bCs/>
          <w:noProof/>
          <w:lang w:val="it-IT" w:eastAsia="it-IT"/>
        </w:rPr>
        <w:t>3</w:t>
      </w:r>
      <w:r w:rsidRPr="00755214">
        <w:rPr>
          <w:rFonts w:ascii="Times New Roman" w:hAnsi="Times New Roman" w:cs="Times New Roman"/>
          <w:b/>
          <w:bCs/>
          <w:noProof/>
          <w:lang w:val="it-IT" w:eastAsia="it-IT"/>
        </w:rPr>
        <w:t>&gt;&gt;</w:t>
      </w:r>
    </w:p>
    <w:p w14:paraId="1C73DB60" w14:textId="6DD222CE" w:rsidR="005B424D" w:rsidRPr="00BB66A8" w:rsidRDefault="005B424D" w:rsidP="001A73BF">
      <w:pPr>
        <w:rPr>
          <w:rFonts w:ascii="Times New Roman" w:hAnsi="Times New Roman" w:cs="Times New Roman"/>
          <w:lang w:val="en-US" w:eastAsia="it-IT"/>
        </w:rPr>
      </w:pPr>
    </w:p>
    <w:p w14:paraId="4F1D3799" w14:textId="52E558A9" w:rsidR="00A2620A" w:rsidRPr="00BB66A8" w:rsidRDefault="00A2620A" w:rsidP="00F7438B">
      <w:pPr>
        <w:pStyle w:val="Titolo3"/>
        <w:rPr>
          <w:rFonts w:ascii="Times New Roman" w:hAnsi="Times New Roman" w:cs="Times New Roman"/>
        </w:rPr>
      </w:pPr>
      <w:r w:rsidRPr="00BB66A8">
        <w:rPr>
          <w:rFonts w:ascii="Times New Roman" w:hAnsi="Times New Roman" w:cs="Times New Roman"/>
        </w:rPr>
        <w:t>Solid state characteri</w:t>
      </w:r>
      <w:r w:rsidR="00B93F0B">
        <w:rPr>
          <w:rFonts w:ascii="Times New Roman" w:hAnsi="Times New Roman" w:cs="Times New Roman"/>
        </w:rPr>
        <w:t>s</w:t>
      </w:r>
      <w:r w:rsidRPr="00BB66A8">
        <w:rPr>
          <w:rFonts w:ascii="Times New Roman" w:hAnsi="Times New Roman" w:cs="Times New Roman"/>
        </w:rPr>
        <w:t>ation of 3D Mini-</w:t>
      </w:r>
      <w:r w:rsidR="00F829E3" w:rsidRPr="00BB66A8">
        <w:rPr>
          <w:rFonts w:ascii="Times New Roman" w:hAnsi="Times New Roman" w:cs="Times New Roman"/>
        </w:rPr>
        <w:t>T</w:t>
      </w:r>
      <w:r w:rsidRPr="00BB66A8">
        <w:rPr>
          <w:rFonts w:ascii="Times New Roman" w:hAnsi="Times New Roman" w:cs="Times New Roman"/>
        </w:rPr>
        <w:t>ablets</w:t>
      </w:r>
    </w:p>
    <w:p w14:paraId="2EEAD3CE" w14:textId="170C6594" w:rsidR="00A2620A" w:rsidRPr="00BB66A8" w:rsidRDefault="00A2620A" w:rsidP="001030ED">
      <w:pPr>
        <w:rPr>
          <w:rFonts w:ascii="Times New Roman" w:hAnsi="Times New Roman" w:cs="Times New Roman"/>
          <w:lang w:val="en-US" w:eastAsia="it-IT"/>
        </w:rPr>
      </w:pPr>
      <w:r w:rsidRPr="00BB66A8">
        <w:rPr>
          <w:rFonts w:ascii="Times New Roman" w:hAnsi="Times New Roman" w:cs="Times New Roman"/>
          <w:lang w:val="en-US" w:eastAsia="it-IT"/>
        </w:rPr>
        <w:t xml:space="preserve">The solid-state </w:t>
      </w:r>
      <w:r w:rsidR="003B4792">
        <w:rPr>
          <w:rFonts w:ascii="Times New Roman" w:hAnsi="Times New Roman" w:cs="Times New Roman"/>
          <w:lang w:val="en-US" w:eastAsia="it-IT"/>
        </w:rPr>
        <w:t>characteri</w:t>
      </w:r>
      <w:r w:rsidR="00166560">
        <w:rPr>
          <w:rFonts w:ascii="Times New Roman" w:hAnsi="Times New Roman" w:cs="Times New Roman"/>
          <w:lang w:val="en-US" w:eastAsia="it-IT"/>
        </w:rPr>
        <w:t>s</w:t>
      </w:r>
      <w:r w:rsidR="003B4792">
        <w:rPr>
          <w:rFonts w:ascii="Times New Roman" w:hAnsi="Times New Roman" w:cs="Times New Roman"/>
          <w:lang w:val="en-US" w:eastAsia="it-IT"/>
        </w:rPr>
        <w:t xml:space="preserve">ation </w:t>
      </w:r>
      <w:r w:rsidRPr="00BB66A8">
        <w:rPr>
          <w:rFonts w:ascii="Times New Roman" w:hAnsi="Times New Roman" w:cs="Times New Roman"/>
          <w:lang w:val="en-US" w:eastAsia="it-IT"/>
        </w:rPr>
        <w:t>was carried out to evaluate the possible amorphisation process undergone by the drug during the extrusion phase.</w:t>
      </w:r>
      <w:r w:rsidR="003B4792">
        <w:rPr>
          <w:rFonts w:ascii="Times New Roman" w:hAnsi="Times New Roman" w:cs="Times New Roman"/>
          <w:lang w:val="en-US" w:eastAsia="it-IT"/>
        </w:rPr>
        <w:t xml:space="preserve"> In order to have</w:t>
      </w:r>
      <w:r w:rsidR="007813AB">
        <w:rPr>
          <w:rFonts w:ascii="Times New Roman" w:hAnsi="Times New Roman" w:cs="Times New Roman"/>
          <w:lang w:val="en-US" w:eastAsia="it-IT"/>
        </w:rPr>
        <w:t xml:space="preserve"> a comparison between the samples </w:t>
      </w:r>
      <w:r w:rsidR="007813AB" w:rsidRPr="00BB66A8">
        <w:rPr>
          <w:rFonts w:ascii="Times New Roman" w:hAnsi="Times New Roman" w:cs="Times New Roman"/>
          <w:lang w:val="en-US" w:eastAsia="it-IT"/>
        </w:rPr>
        <w:t>before and after the DPE printing</w:t>
      </w:r>
      <w:r w:rsidR="007813AB">
        <w:rPr>
          <w:rFonts w:ascii="Times New Roman" w:hAnsi="Times New Roman" w:cs="Times New Roman"/>
          <w:lang w:val="en-US" w:eastAsia="it-IT"/>
        </w:rPr>
        <w:t xml:space="preserve"> stage, </w:t>
      </w:r>
      <w:r w:rsidRPr="00BB66A8">
        <w:rPr>
          <w:rFonts w:ascii="Times New Roman" w:hAnsi="Times New Roman" w:cs="Times New Roman"/>
          <w:lang w:val="en-US" w:eastAsia="it-IT"/>
        </w:rPr>
        <w:t>the results</w:t>
      </w:r>
      <w:r w:rsidR="007813AB">
        <w:rPr>
          <w:rFonts w:ascii="Times New Roman" w:hAnsi="Times New Roman" w:cs="Times New Roman"/>
          <w:lang w:val="en-US" w:eastAsia="it-IT"/>
        </w:rPr>
        <w:t xml:space="preserve"> of </w:t>
      </w:r>
      <w:r w:rsidRPr="00BB66A8">
        <w:rPr>
          <w:rFonts w:ascii="Times New Roman" w:hAnsi="Times New Roman" w:cs="Times New Roman"/>
          <w:lang w:val="en-US" w:eastAsia="it-IT"/>
        </w:rPr>
        <w:t>FT-IR, DSC</w:t>
      </w:r>
      <w:r w:rsidR="007D7BFC">
        <w:rPr>
          <w:rFonts w:ascii="Times New Roman" w:hAnsi="Times New Roman" w:cs="Times New Roman"/>
          <w:lang w:val="en-US" w:eastAsia="it-IT"/>
        </w:rPr>
        <w:t>,</w:t>
      </w:r>
      <w:r w:rsidRPr="00BB66A8">
        <w:rPr>
          <w:rFonts w:ascii="Times New Roman" w:hAnsi="Times New Roman" w:cs="Times New Roman"/>
          <w:lang w:val="en-US" w:eastAsia="it-IT"/>
        </w:rPr>
        <w:t xml:space="preserve"> and X-Ray analyses of the obtained </w:t>
      </w:r>
      <w:r w:rsidR="00166560" w:rsidRPr="00C142C6">
        <w:rPr>
          <w:rFonts w:ascii="Times New Roman" w:hAnsi="Times New Roman" w:cs="Times New Roman"/>
          <w:lang w:val="en-US" w:eastAsia="it-IT"/>
        </w:rPr>
        <w:t>print</w:t>
      </w:r>
      <w:r w:rsidR="00BB3B9B" w:rsidRPr="00C142C6">
        <w:rPr>
          <w:rFonts w:ascii="Times New Roman" w:hAnsi="Times New Roman" w:cs="Times New Roman"/>
          <w:lang w:val="en-US" w:eastAsia="it-IT"/>
        </w:rPr>
        <w:t>ed</w:t>
      </w:r>
      <w:r w:rsidR="00BB3B9B" w:rsidRPr="00BB66A8">
        <w:rPr>
          <w:rFonts w:ascii="Times New Roman" w:hAnsi="Times New Roman" w:cs="Times New Roman"/>
          <w:lang w:val="en-US" w:eastAsia="it-IT"/>
        </w:rPr>
        <w:t xml:space="preserve"> </w:t>
      </w:r>
      <w:r w:rsidRPr="00BB66A8">
        <w:rPr>
          <w:rFonts w:ascii="Times New Roman" w:hAnsi="Times New Roman" w:cs="Times New Roman"/>
          <w:lang w:val="en-US" w:eastAsia="it-IT"/>
        </w:rPr>
        <w:t>formulations (MT1, MT2, MT3) were c</w:t>
      </w:r>
      <w:r w:rsidR="007813AB">
        <w:rPr>
          <w:rFonts w:ascii="Times New Roman" w:hAnsi="Times New Roman" w:cs="Times New Roman"/>
          <w:lang w:val="en-US" w:eastAsia="it-IT"/>
        </w:rPr>
        <w:t>ompared</w:t>
      </w:r>
      <w:r w:rsidRPr="00BB66A8">
        <w:rPr>
          <w:rFonts w:ascii="Times New Roman" w:hAnsi="Times New Roman" w:cs="Times New Roman"/>
          <w:lang w:val="en-US" w:eastAsia="it-IT"/>
        </w:rPr>
        <w:t xml:space="preserve"> with those of the respective mixtures (MixBD, MixBD-CD, MixIC)</w:t>
      </w:r>
      <w:r w:rsidR="007813AB">
        <w:rPr>
          <w:rFonts w:ascii="Times New Roman" w:hAnsi="Times New Roman" w:cs="Times New Roman"/>
          <w:lang w:val="en-US" w:eastAsia="it-IT"/>
        </w:rPr>
        <w:t>.</w:t>
      </w:r>
      <w:r w:rsidRPr="00BB66A8">
        <w:rPr>
          <w:rFonts w:ascii="Times New Roman" w:hAnsi="Times New Roman" w:cs="Times New Roman"/>
        </w:rPr>
        <w:t xml:space="preserve"> </w:t>
      </w:r>
      <w:r w:rsidRPr="00BB66A8">
        <w:rPr>
          <w:rFonts w:ascii="Times New Roman" w:hAnsi="Times New Roman" w:cs="Times New Roman"/>
          <w:lang w:val="en-US" w:eastAsia="it-IT"/>
        </w:rPr>
        <w:t xml:space="preserve">For a more detailed investigation, analyses were also conducted on the sample of pure drug and the physical mixtures </w:t>
      </w:r>
      <w:r w:rsidRPr="00C142C6">
        <w:rPr>
          <w:rFonts w:ascii="Times New Roman" w:hAnsi="Times New Roman" w:cs="Times New Roman"/>
          <w:lang w:val="en-US" w:eastAsia="it-IT"/>
        </w:rPr>
        <w:t xml:space="preserve">consisting </w:t>
      </w:r>
      <w:r w:rsidR="00FC6B69" w:rsidRPr="00C142C6">
        <w:rPr>
          <w:rFonts w:ascii="Times New Roman" w:hAnsi="Times New Roman" w:cs="Times New Roman"/>
          <w:lang w:val="en-US" w:eastAsia="it-IT"/>
        </w:rPr>
        <w:t xml:space="preserve">of </w:t>
      </w:r>
      <w:r w:rsidRPr="00C142C6">
        <w:rPr>
          <w:rFonts w:ascii="Times New Roman" w:hAnsi="Times New Roman" w:cs="Times New Roman"/>
          <w:lang w:val="en-US" w:eastAsia="it-IT"/>
        </w:rPr>
        <w:t xml:space="preserve">excipients </w:t>
      </w:r>
      <w:r w:rsidR="00C142C6">
        <w:rPr>
          <w:rFonts w:ascii="Times New Roman" w:hAnsi="Times New Roman" w:cs="Times New Roman"/>
          <w:lang w:val="en-US" w:eastAsia="it-IT"/>
        </w:rPr>
        <w:t>alone</w:t>
      </w:r>
      <w:r w:rsidR="00181587" w:rsidRPr="00BB66A8">
        <w:rPr>
          <w:rFonts w:ascii="Times New Roman" w:hAnsi="Times New Roman" w:cs="Times New Roman"/>
          <w:lang w:val="en-US" w:eastAsia="it-IT"/>
        </w:rPr>
        <w:t xml:space="preserve"> </w:t>
      </w:r>
      <w:r w:rsidRPr="00BB66A8">
        <w:rPr>
          <w:rFonts w:ascii="Times New Roman" w:hAnsi="Times New Roman" w:cs="Times New Roman"/>
          <w:lang w:val="en-US" w:eastAsia="it-IT"/>
        </w:rPr>
        <w:t>(Mix1, Mix2</w:t>
      </w:r>
      <w:r w:rsidR="00166560">
        <w:rPr>
          <w:rFonts w:ascii="Times New Roman" w:hAnsi="Times New Roman" w:cs="Times New Roman"/>
          <w:lang w:val="en-US" w:eastAsia="it-IT"/>
        </w:rPr>
        <w:t>/</w:t>
      </w:r>
      <w:r w:rsidRPr="00BB66A8">
        <w:rPr>
          <w:rFonts w:ascii="Times New Roman" w:hAnsi="Times New Roman" w:cs="Times New Roman"/>
          <w:lang w:val="en-US" w:eastAsia="it-IT"/>
        </w:rPr>
        <w:t>Mix3).</w:t>
      </w:r>
      <w:r w:rsidRPr="00BB66A8">
        <w:rPr>
          <w:rFonts w:ascii="Times New Roman" w:hAnsi="Times New Roman" w:cs="Times New Roman"/>
        </w:rPr>
        <w:t xml:space="preserve"> A single spectrum was reported for the physical mixtures Mix2 and Mix3 because they presented </w:t>
      </w:r>
      <w:r w:rsidR="00FC6B69" w:rsidRPr="00BB66A8">
        <w:rPr>
          <w:rFonts w:ascii="Times New Roman" w:hAnsi="Times New Roman" w:cs="Times New Roman"/>
        </w:rPr>
        <w:t xml:space="preserve">the </w:t>
      </w:r>
      <w:r w:rsidRPr="00BB66A8">
        <w:rPr>
          <w:rFonts w:ascii="Times New Roman" w:hAnsi="Times New Roman" w:cs="Times New Roman"/>
        </w:rPr>
        <w:t>same polymer composition</w:t>
      </w:r>
      <w:r w:rsidRPr="00BB66A8">
        <w:rPr>
          <w:rFonts w:ascii="Times New Roman" w:hAnsi="Times New Roman" w:cs="Times New Roman"/>
          <w:lang w:val="en-US" w:eastAsia="it-IT"/>
        </w:rPr>
        <w:t xml:space="preserve">. In fact, these were mixtures </w:t>
      </w:r>
      <w:r w:rsidR="00181587" w:rsidRPr="00BB66A8">
        <w:rPr>
          <w:rFonts w:ascii="Times New Roman" w:hAnsi="Times New Roman" w:cs="Times New Roman"/>
          <w:lang w:val="en-US" w:eastAsia="it-IT"/>
        </w:rPr>
        <w:t xml:space="preserve">used for </w:t>
      </w:r>
      <w:r w:rsidRPr="00BB66A8">
        <w:rPr>
          <w:rFonts w:ascii="Times New Roman" w:hAnsi="Times New Roman" w:cs="Times New Roman"/>
          <w:lang w:val="en-US" w:eastAsia="it-IT"/>
        </w:rPr>
        <w:t>MixBD-CD and MixIC, respectively, differentiated by the presence in powder of BD and HP-β-CD in the former case and an IC pre-formed by FD in the latter.</w:t>
      </w:r>
      <w:r w:rsidRPr="00BB66A8">
        <w:rPr>
          <w:rFonts w:ascii="Times New Roman" w:hAnsi="Times New Roman" w:cs="Times New Roman"/>
        </w:rPr>
        <w:t xml:space="preserve"> </w:t>
      </w:r>
      <w:r w:rsidRPr="00BB66A8">
        <w:rPr>
          <w:rFonts w:ascii="Times New Roman" w:hAnsi="Times New Roman" w:cs="Times New Roman"/>
          <w:lang w:val="en-US" w:eastAsia="it-IT"/>
        </w:rPr>
        <w:t xml:space="preserve">The study on MixBD-CD and MixIC mixtures aimed </w:t>
      </w:r>
      <w:r w:rsidR="00FC6B69" w:rsidRPr="00BB66A8">
        <w:rPr>
          <w:rFonts w:ascii="Times New Roman" w:hAnsi="Times New Roman" w:cs="Times New Roman"/>
          <w:lang w:val="en-US" w:eastAsia="it-IT"/>
        </w:rPr>
        <w:t>at highlighting</w:t>
      </w:r>
      <w:r w:rsidRPr="00BB66A8">
        <w:rPr>
          <w:rFonts w:ascii="Times New Roman" w:hAnsi="Times New Roman" w:cs="Times New Roman"/>
          <w:lang w:val="en-US" w:eastAsia="it-IT"/>
        </w:rPr>
        <w:t xml:space="preserve">, through direct comparison with the IC obtained with FD, </w:t>
      </w:r>
      <w:r w:rsidR="00C142C6">
        <w:rPr>
          <w:rFonts w:ascii="Times New Roman" w:hAnsi="Times New Roman" w:cs="Times New Roman"/>
          <w:lang w:val="en-US" w:eastAsia="it-IT"/>
        </w:rPr>
        <w:t>t</w:t>
      </w:r>
      <w:r w:rsidR="00C142C6" w:rsidRPr="00C142C6">
        <w:rPr>
          <w:rFonts w:ascii="Times New Roman" w:hAnsi="Times New Roman" w:cs="Times New Roman"/>
          <w:lang w:val="en-US" w:eastAsia="it-IT"/>
        </w:rPr>
        <w:t>he possible formation of an IC during extrusion by DPE, as reported in our previous study with the same cyclodextrin and a different drug</w:t>
      </w:r>
      <w:r w:rsidRPr="00BB66A8">
        <w:rPr>
          <w:rFonts w:ascii="Times New Roman" w:hAnsi="Times New Roman" w:cs="Times New Roman"/>
          <w:lang w:val="en-US" w:eastAsia="it-IT"/>
        </w:rPr>
        <w:t xml:space="preserve"> </w:t>
      </w:r>
      <w:r w:rsidR="00432BE0" w:rsidRPr="00BB66A8">
        <w:rPr>
          <w:rFonts w:ascii="Times New Roman" w:hAnsi="Times New Roman" w:cs="Times New Roman"/>
          <w:color w:val="000000"/>
        </w:rPr>
        <w:t>(Pistone et al., 2022)</w:t>
      </w:r>
      <w:r w:rsidRPr="00BB66A8">
        <w:rPr>
          <w:rFonts w:ascii="Times New Roman" w:hAnsi="Times New Roman" w:cs="Times New Roman"/>
          <w:lang w:val="en-US" w:eastAsia="it-IT"/>
        </w:rPr>
        <w:t>.</w:t>
      </w:r>
    </w:p>
    <w:p w14:paraId="01CC5CE8" w14:textId="0DA9BA35" w:rsidR="00A2620A" w:rsidRDefault="00A2620A" w:rsidP="001030ED">
      <w:pPr>
        <w:rPr>
          <w:rFonts w:ascii="Times New Roman" w:hAnsi="Times New Roman" w:cs="Times New Roman"/>
          <w:lang w:val="en-US" w:eastAsia="it-IT"/>
        </w:rPr>
      </w:pPr>
      <w:r w:rsidRPr="00BB66A8">
        <w:rPr>
          <w:rFonts w:ascii="Times New Roman" w:hAnsi="Times New Roman" w:cs="Times New Roman"/>
          <w:lang w:val="en-US" w:eastAsia="it-IT"/>
        </w:rPr>
        <w:t>From the FT-IR spectrum of BD, it was possible to observe the characteristic peaks of the drug present at 3499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for the O-H stretching vibration, at 2955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for the C-H stretching vibration, at 1722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and 1670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for the stretching vibrations of the carbonyl groups (C=O) of acetyl and dihydrobenzoquinone, respectively, and again at 1626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for the stretching vibrations of the C=C bond </w:t>
      </w:r>
      <w:r w:rsidR="00432BE0" w:rsidRPr="00BB66A8">
        <w:rPr>
          <w:rFonts w:ascii="Times New Roman" w:hAnsi="Times New Roman" w:cs="Times New Roman"/>
          <w:color w:val="000000"/>
        </w:rPr>
        <w:t>(Mali et al., 2014)</w:t>
      </w:r>
      <w:r w:rsidRPr="00BB66A8">
        <w:rPr>
          <w:rFonts w:ascii="Times New Roman" w:hAnsi="Times New Roman" w:cs="Times New Roman"/>
          <w:lang w:val="en-US" w:eastAsia="it-IT"/>
        </w:rPr>
        <w:t xml:space="preserve"> (Fig.</w:t>
      </w:r>
      <w:r w:rsidR="0009214D">
        <w:rPr>
          <w:rFonts w:ascii="Times New Roman" w:hAnsi="Times New Roman" w:cs="Times New Roman"/>
          <w:lang w:val="en-US" w:eastAsia="it-IT"/>
        </w:rPr>
        <w:t xml:space="preserve"> </w:t>
      </w:r>
      <w:r w:rsidRPr="00BB66A8">
        <w:rPr>
          <w:rFonts w:ascii="Times New Roman" w:hAnsi="Times New Roman" w:cs="Times New Roman"/>
          <w:lang w:val="en-US" w:eastAsia="it-IT"/>
        </w:rPr>
        <w:t>4).</w:t>
      </w:r>
      <w:r w:rsidRPr="00BB66A8">
        <w:rPr>
          <w:rFonts w:ascii="Times New Roman" w:hAnsi="Times New Roman" w:cs="Times New Roman"/>
        </w:rPr>
        <w:t xml:space="preserve"> </w:t>
      </w:r>
      <w:r w:rsidRPr="00BB66A8">
        <w:rPr>
          <w:rFonts w:ascii="Times New Roman" w:hAnsi="Times New Roman" w:cs="Times New Roman"/>
          <w:lang w:val="en-US" w:eastAsia="it-IT"/>
        </w:rPr>
        <w:t>In contrast, the spectrum related to IC BD-CD, obtained by FD technique, showed that the intensity of the drug bands decreased and there was a shift in the elongation bands of the methyl groups from 295</w:t>
      </w:r>
      <w:r w:rsidR="00743CEC">
        <w:rPr>
          <w:rFonts w:ascii="Times New Roman" w:hAnsi="Times New Roman" w:cs="Times New Roman"/>
          <w:lang w:val="en-US" w:eastAsia="it-IT"/>
        </w:rPr>
        <w:t>5</w:t>
      </w:r>
      <w:r w:rsidRPr="00BB66A8">
        <w:rPr>
          <w:rFonts w:ascii="Times New Roman" w:hAnsi="Times New Roman" w:cs="Times New Roman"/>
          <w:lang w:val="en-US" w:eastAsia="it-IT"/>
        </w:rPr>
        <w:t xml:space="preserve">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to 3000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w:t>
      </w:r>
      <w:r w:rsidR="00C142C6" w:rsidRPr="00C142C6">
        <w:rPr>
          <w:rFonts w:ascii="Times New Roman" w:hAnsi="Times New Roman" w:cs="Times New Roman"/>
          <w:lang w:val="en-US" w:eastAsia="it-IT"/>
        </w:rPr>
        <w:t xml:space="preserve">These results suggested a rearrangement of the above-mentioned functional groups of BD </w:t>
      </w:r>
      <w:r w:rsidRPr="00BB66A8">
        <w:rPr>
          <w:rFonts w:ascii="Times New Roman" w:hAnsi="Times New Roman" w:cs="Times New Roman"/>
          <w:lang w:val="en-US" w:eastAsia="it-IT"/>
        </w:rPr>
        <w:t xml:space="preserve">as a result of possible interactions with HP-β-CD </w:t>
      </w:r>
      <w:r w:rsidR="00432BE0" w:rsidRPr="00BB66A8">
        <w:rPr>
          <w:rFonts w:ascii="Times New Roman" w:hAnsi="Times New Roman" w:cs="Times New Roman"/>
          <w:color w:val="000000"/>
        </w:rPr>
        <w:t>(Michailidou et al., 2021)</w:t>
      </w:r>
      <w:r w:rsidRPr="00BB66A8">
        <w:rPr>
          <w:rFonts w:ascii="Times New Roman" w:hAnsi="Times New Roman" w:cs="Times New Roman"/>
          <w:lang w:val="en-US" w:eastAsia="it-IT"/>
        </w:rPr>
        <w:t>. Depending on the different compositions, in the FT-IR spectra of the</w:t>
      </w:r>
      <w:r w:rsidR="007813AB">
        <w:rPr>
          <w:rFonts w:ascii="Times New Roman" w:hAnsi="Times New Roman" w:cs="Times New Roman"/>
          <w:lang w:val="en-US" w:eastAsia="it-IT"/>
        </w:rPr>
        <w:t xml:space="preserve"> medicated</w:t>
      </w:r>
      <w:r w:rsidRPr="00BB66A8">
        <w:rPr>
          <w:rFonts w:ascii="Times New Roman" w:hAnsi="Times New Roman" w:cs="Times New Roman"/>
          <w:lang w:val="en-US" w:eastAsia="it-IT"/>
        </w:rPr>
        <w:t xml:space="preserve"> physical mixtures</w:t>
      </w:r>
      <w:r w:rsidR="007813AB">
        <w:rPr>
          <w:rFonts w:ascii="Times New Roman" w:hAnsi="Times New Roman" w:cs="Times New Roman"/>
          <w:lang w:val="en-US" w:eastAsia="it-IT"/>
        </w:rPr>
        <w:t xml:space="preserve"> </w:t>
      </w:r>
      <w:r w:rsidRPr="00BB66A8">
        <w:rPr>
          <w:rFonts w:ascii="Times New Roman" w:hAnsi="Times New Roman" w:cs="Times New Roman"/>
          <w:lang w:val="en-US" w:eastAsia="it-IT"/>
        </w:rPr>
        <w:t xml:space="preserve">(MixBD, MixBD-CD, MixIC) and not (Mix1, Mix2/Mix3) were mainly evident the characteristic </w:t>
      </w:r>
      <w:r w:rsidRPr="00612278">
        <w:rPr>
          <w:rFonts w:ascii="Times New Roman" w:hAnsi="Times New Roman" w:cs="Times New Roman"/>
          <w:lang w:val="en-US" w:eastAsia="it-IT"/>
        </w:rPr>
        <w:t>peaks of HPMC</w:t>
      </w:r>
      <w:r w:rsidR="00132672" w:rsidRPr="00612278">
        <w:rPr>
          <w:rFonts w:ascii="Times New Roman" w:hAnsi="Times New Roman" w:cs="Times New Roman"/>
          <w:lang w:val="en-US" w:eastAsia="it-IT"/>
        </w:rPr>
        <w:t xml:space="preserve">, as reported by Wang et al. </w:t>
      </w:r>
      <w:r w:rsidRPr="00612278">
        <w:rPr>
          <w:rFonts w:ascii="Times New Roman" w:hAnsi="Times New Roman" w:cs="Times New Roman"/>
          <w:lang w:val="en-US" w:eastAsia="it-IT"/>
        </w:rPr>
        <w:t xml:space="preserve"> </w:t>
      </w:r>
      <w:r w:rsidR="00132672" w:rsidRPr="00612278">
        <w:rPr>
          <w:rFonts w:ascii="Times New Roman" w:hAnsi="Times New Roman" w:cs="Times New Roman"/>
          <w:color w:val="000000"/>
          <w:lang w:val="en-US"/>
        </w:rPr>
        <w:t>(</w:t>
      </w:r>
      <w:r w:rsidR="00432BE0" w:rsidRPr="00612278">
        <w:rPr>
          <w:rFonts w:ascii="Times New Roman" w:hAnsi="Times New Roman" w:cs="Times New Roman"/>
          <w:color w:val="000000"/>
        </w:rPr>
        <w:t>Wang et al., 2022)</w:t>
      </w:r>
      <w:r w:rsidR="00132672" w:rsidRPr="00612278">
        <w:rPr>
          <w:rFonts w:ascii="Times New Roman" w:hAnsi="Times New Roman" w:cs="Times New Roman"/>
          <w:color w:val="000000"/>
        </w:rPr>
        <w:t>,</w:t>
      </w:r>
      <w:r w:rsidRPr="00612278">
        <w:rPr>
          <w:rFonts w:ascii="Times New Roman" w:hAnsi="Times New Roman" w:cs="Times New Roman"/>
          <w:lang w:val="en-US" w:eastAsia="it-IT"/>
        </w:rPr>
        <w:t xml:space="preserve"> and/or HP-β-CD</w:t>
      </w:r>
      <w:r w:rsidR="00132672" w:rsidRPr="00612278">
        <w:rPr>
          <w:rFonts w:ascii="Times New Roman" w:hAnsi="Times New Roman" w:cs="Times New Roman"/>
          <w:lang w:val="en-US" w:eastAsia="it-IT"/>
        </w:rPr>
        <w:t>, as reported by Yuan et al.</w:t>
      </w:r>
      <w:r w:rsidRPr="00612278">
        <w:rPr>
          <w:rFonts w:ascii="Times New Roman" w:hAnsi="Times New Roman" w:cs="Times New Roman"/>
          <w:lang w:val="en-US" w:eastAsia="it-IT"/>
        </w:rPr>
        <w:t xml:space="preserve"> </w:t>
      </w:r>
      <w:r w:rsidR="00432BE0" w:rsidRPr="00612278">
        <w:rPr>
          <w:rFonts w:ascii="Times New Roman" w:hAnsi="Times New Roman" w:cs="Times New Roman"/>
          <w:color w:val="000000"/>
        </w:rPr>
        <w:t>(Yuan et al., 2015)</w:t>
      </w:r>
      <w:r w:rsidRPr="00612278">
        <w:rPr>
          <w:rFonts w:ascii="Times New Roman" w:hAnsi="Times New Roman" w:cs="Times New Roman"/>
          <w:lang w:val="en-US" w:eastAsia="it-IT"/>
        </w:rPr>
        <w:t>, the</w:t>
      </w:r>
      <w:r w:rsidRPr="00BB66A8">
        <w:rPr>
          <w:rFonts w:ascii="Times New Roman" w:hAnsi="Times New Roman" w:cs="Times New Roman"/>
          <w:lang w:val="en-US" w:eastAsia="it-IT"/>
        </w:rPr>
        <w:t xml:space="preserve"> polymers being present in higher </w:t>
      </w:r>
      <w:r w:rsidR="00C142C6">
        <w:rPr>
          <w:rFonts w:ascii="Times New Roman" w:hAnsi="Times New Roman" w:cs="Times New Roman"/>
          <w:lang w:val="en-US" w:eastAsia="it-IT"/>
        </w:rPr>
        <w:t>quantity</w:t>
      </w:r>
      <w:r w:rsidRPr="00BB66A8">
        <w:rPr>
          <w:rFonts w:ascii="Times New Roman" w:hAnsi="Times New Roman" w:cs="Times New Roman"/>
          <w:lang w:val="en-US" w:eastAsia="it-IT"/>
        </w:rPr>
        <w:t>.</w:t>
      </w:r>
      <w:r w:rsidRPr="00BB66A8">
        <w:rPr>
          <w:rFonts w:ascii="Times New Roman" w:hAnsi="Times New Roman" w:cs="Times New Roman"/>
        </w:rPr>
        <w:t xml:space="preserve"> </w:t>
      </w:r>
      <w:r w:rsidRPr="00BB66A8">
        <w:rPr>
          <w:rFonts w:ascii="Times New Roman" w:hAnsi="Times New Roman" w:cs="Times New Roman"/>
          <w:lang w:val="en-US" w:eastAsia="it-IT"/>
        </w:rPr>
        <w:t>Finally, the significant peak deformations found in the samples of the extruded formulations (MT1, MT2, MT3) containing drug-hydrophilic polymer-cyclodextrin may be determined by the numerous interactions of BD with HPMC and/or HP-β-CD. Therefore, the absence of the peaks at 3490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and 2950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and the change in the carbonyl group rearrangement peculiar</w:t>
      </w:r>
      <w:r w:rsidR="007813AB">
        <w:rPr>
          <w:rFonts w:ascii="Times New Roman" w:hAnsi="Times New Roman" w:cs="Times New Roman"/>
          <w:lang w:val="en-US" w:eastAsia="it-IT"/>
        </w:rPr>
        <w:t xml:space="preserve"> of </w:t>
      </w:r>
      <w:r w:rsidRPr="00BB66A8">
        <w:rPr>
          <w:rFonts w:ascii="Times New Roman" w:hAnsi="Times New Roman" w:cs="Times New Roman"/>
          <w:lang w:val="en-US" w:eastAsia="it-IT"/>
        </w:rPr>
        <w:t>BD, in combination with the enlargements of the HP-β-CD and HPMC peaks at 3350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and 3460 cm</w:t>
      </w:r>
      <w:r w:rsidRPr="00BB66A8">
        <w:rPr>
          <w:rFonts w:ascii="Times New Roman" w:hAnsi="Times New Roman" w:cs="Times New Roman"/>
          <w:vertAlign w:val="superscript"/>
          <w:lang w:val="en-US" w:eastAsia="it-IT"/>
        </w:rPr>
        <w:t>-1</w:t>
      </w:r>
      <w:r w:rsidRPr="00BB66A8">
        <w:rPr>
          <w:rFonts w:ascii="Times New Roman" w:hAnsi="Times New Roman" w:cs="Times New Roman"/>
          <w:lang w:val="en-US" w:eastAsia="it-IT"/>
        </w:rPr>
        <w:t xml:space="preserve"> respectively, suggested that </w:t>
      </w:r>
      <w:r w:rsidR="007813AB">
        <w:rPr>
          <w:rFonts w:ascii="Times New Roman" w:hAnsi="Times New Roman" w:cs="Times New Roman"/>
          <w:lang w:val="en-US" w:eastAsia="it-IT"/>
        </w:rPr>
        <w:t xml:space="preserve">the </w:t>
      </w:r>
      <w:r w:rsidRPr="00BB66A8">
        <w:rPr>
          <w:rFonts w:ascii="Times New Roman" w:hAnsi="Times New Roman" w:cs="Times New Roman"/>
          <w:lang w:val="en-US" w:eastAsia="it-IT"/>
        </w:rPr>
        <w:t>extrusion process allowed the</w:t>
      </w:r>
      <w:r w:rsidR="006F766B">
        <w:rPr>
          <w:rFonts w:ascii="Times New Roman" w:hAnsi="Times New Roman" w:cs="Times New Roman"/>
          <w:lang w:val="en-US" w:eastAsia="it-IT"/>
        </w:rPr>
        <w:t xml:space="preserve"> </w:t>
      </w:r>
      <w:r w:rsidR="006F766B" w:rsidRPr="00612278">
        <w:rPr>
          <w:rFonts w:ascii="Times New Roman" w:hAnsi="Times New Roman" w:cs="Times New Roman"/>
          <w:lang w:val="en-US" w:eastAsia="it-IT"/>
        </w:rPr>
        <w:t>possible</w:t>
      </w:r>
      <w:r w:rsidR="006F766B">
        <w:rPr>
          <w:rFonts w:ascii="Times New Roman" w:hAnsi="Times New Roman" w:cs="Times New Roman"/>
          <w:lang w:val="en-US" w:eastAsia="it-IT"/>
        </w:rPr>
        <w:t xml:space="preserve"> </w:t>
      </w:r>
      <w:r w:rsidRPr="00BB66A8">
        <w:rPr>
          <w:rFonts w:ascii="Times New Roman" w:hAnsi="Times New Roman" w:cs="Times New Roman"/>
          <w:lang w:val="en-US" w:eastAsia="it-IT"/>
        </w:rPr>
        <w:t>formation of a ternary inclusion complex</w:t>
      </w:r>
      <w:r w:rsidR="006F766B">
        <w:rPr>
          <w:rFonts w:ascii="Times New Roman" w:hAnsi="Times New Roman" w:cs="Times New Roman"/>
          <w:lang w:val="en-US" w:eastAsia="it-IT"/>
        </w:rPr>
        <w:t xml:space="preserve"> (BD/CD/HPMC)</w:t>
      </w:r>
      <w:r w:rsidRPr="00BB66A8">
        <w:rPr>
          <w:rFonts w:ascii="Times New Roman" w:hAnsi="Times New Roman" w:cs="Times New Roman"/>
          <w:lang w:val="en-US" w:eastAsia="it-IT"/>
        </w:rPr>
        <w:t xml:space="preserve"> </w:t>
      </w:r>
      <w:r w:rsidR="00432BE0" w:rsidRPr="00BB66A8">
        <w:rPr>
          <w:rFonts w:ascii="Times New Roman" w:hAnsi="Times New Roman" w:cs="Times New Roman"/>
          <w:color w:val="000000"/>
        </w:rPr>
        <w:t>(Granados et al., 2022; Thiry et al., 2017)</w:t>
      </w:r>
      <w:r w:rsidRPr="00BB66A8">
        <w:rPr>
          <w:rFonts w:ascii="Times New Roman" w:hAnsi="Times New Roman" w:cs="Times New Roman"/>
          <w:lang w:val="en-US" w:eastAsia="it-IT"/>
        </w:rPr>
        <w:t>.</w:t>
      </w:r>
    </w:p>
    <w:p w14:paraId="4E6C6D69" w14:textId="77777777" w:rsidR="00755214" w:rsidRPr="00BB66A8" w:rsidRDefault="00755214" w:rsidP="001030ED">
      <w:pPr>
        <w:rPr>
          <w:rFonts w:ascii="Times New Roman" w:hAnsi="Times New Roman" w:cs="Times New Roman"/>
          <w:lang w:val="en-US" w:eastAsia="it-IT"/>
        </w:rPr>
      </w:pPr>
    </w:p>
    <w:p w14:paraId="20D31D01" w14:textId="006083A2" w:rsidR="00755214" w:rsidRPr="00755214" w:rsidRDefault="00755214" w:rsidP="00755214">
      <w:pPr>
        <w:jc w:val="center"/>
        <w:rPr>
          <w:rFonts w:ascii="Times New Roman" w:hAnsi="Times New Roman" w:cs="Times New Roman"/>
          <w:b/>
          <w:bCs/>
          <w:lang w:val="en-US" w:eastAsia="it-IT"/>
        </w:rPr>
      </w:pPr>
      <w:r w:rsidRPr="00AB2FA7">
        <w:rPr>
          <w:rFonts w:ascii="Times New Roman" w:hAnsi="Times New Roman" w:cs="Times New Roman"/>
          <w:b/>
          <w:bCs/>
          <w:noProof/>
          <w:lang w:eastAsia="it-IT"/>
        </w:rPr>
        <w:t>&lt;&lt; Insert Fig. 4&gt;&gt;</w:t>
      </w:r>
    </w:p>
    <w:p w14:paraId="74D416C0" w14:textId="77777777" w:rsidR="00A2620A" w:rsidRPr="00BB66A8" w:rsidRDefault="00A2620A" w:rsidP="001030ED">
      <w:pPr>
        <w:rPr>
          <w:rFonts w:ascii="Times New Roman" w:hAnsi="Times New Roman" w:cs="Times New Roman"/>
        </w:rPr>
      </w:pPr>
    </w:p>
    <w:p w14:paraId="0779C17C" w14:textId="597140A6" w:rsidR="00A2620A" w:rsidRDefault="00A2620A" w:rsidP="001030ED">
      <w:pPr>
        <w:rPr>
          <w:rFonts w:ascii="Times New Roman" w:hAnsi="Times New Roman" w:cs="Times New Roman"/>
        </w:rPr>
      </w:pPr>
      <w:r w:rsidRPr="00BB66A8">
        <w:rPr>
          <w:rFonts w:ascii="Times New Roman" w:hAnsi="Times New Roman" w:cs="Times New Roman"/>
        </w:rPr>
        <w:lastRenderedPageBreak/>
        <w:t>These intimate BD/CD/HPMC interactions were investigated with a second test performed by DSC (Fig.</w:t>
      </w:r>
      <w:r w:rsidR="00612278">
        <w:rPr>
          <w:rFonts w:ascii="Times New Roman" w:hAnsi="Times New Roman" w:cs="Times New Roman"/>
        </w:rPr>
        <w:t xml:space="preserve"> </w:t>
      </w:r>
      <w:r w:rsidRPr="00BB66A8">
        <w:rPr>
          <w:rFonts w:ascii="Times New Roman" w:hAnsi="Times New Roman" w:cs="Times New Roman"/>
        </w:rPr>
        <w:t>5). As reported in previous studies, D</w:t>
      </w:r>
      <w:r w:rsidR="006F766B">
        <w:rPr>
          <w:rFonts w:ascii="Times New Roman" w:hAnsi="Times New Roman" w:cs="Times New Roman"/>
        </w:rPr>
        <w:t>SC</w:t>
      </w:r>
      <w:r w:rsidRPr="00BB66A8">
        <w:rPr>
          <w:rFonts w:ascii="Times New Roman" w:hAnsi="Times New Roman" w:cs="Times New Roman"/>
        </w:rPr>
        <w:t xml:space="preserve"> analysis of BD showed an endothermic event corresponding </w:t>
      </w:r>
      <w:r w:rsidR="00132672" w:rsidRPr="00132672">
        <w:rPr>
          <w:rFonts w:ascii="Times New Roman" w:hAnsi="Times New Roman" w:cs="Times New Roman"/>
        </w:rPr>
        <w:t>to the melting of the drug at a temperature of 260</w:t>
      </w:r>
      <w:r w:rsidR="006C2A56">
        <w:rPr>
          <w:rFonts w:ascii="Times New Roman" w:hAnsi="Times New Roman" w:cs="Times New Roman"/>
        </w:rPr>
        <w:t xml:space="preserve"> </w:t>
      </w:r>
      <w:r w:rsidR="00132672" w:rsidRPr="00132672">
        <w:rPr>
          <w:rFonts w:ascii="Times New Roman" w:hAnsi="Times New Roman" w:cs="Times New Roman"/>
        </w:rPr>
        <w:t>°C</w:t>
      </w:r>
      <w:r w:rsidR="00132672">
        <w:rPr>
          <w:rFonts w:ascii="Times New Roman" w:hAnsi="Times New Roman" w:cs="Times New Roman"/>
        </w:rPr>
        <w:t xml:space="preserve"> </w:t>
      </w:r>
      <w:r w:rsidR="00432BE0" w:rsidRPr="00BB66A8">
        <w:rPr>
          <w:rFonts w:ascii="Times New Roman" w:hAnsi="Times New Roman" w:cs="Times New Roman"/>
          <w:color w:val="000000"/>
        </w:rPr>
        <w:t>(Goyanes et al., 2015)</w:t>
      </w:r>
      <w:r w:rsidRPr="00BB66A8">
        <w:rPr>
          <w:rFonts w:ascii="Times New Roman" w:hAnsi="Times New Roman" w:cs="Times New Roman"/>
        </w:rPr>
        <w:t xml:space="preserve">. The thermogram of the IC obtained by FD appeared amorphous, with a single sloping peak between 80 and 100 °C related to the removal of water present in the sample and characteristic of </w:t>
      </w:r>
      <w:r w:rsidR="00181587" w:rsidRPr="00BB66A8">
        <w:rPr>
          <w:rFonts w:ascii="Times New Roman" w:hAnsi="Times New Roman" w:cs="Times New Roman"/>
        </w:rPr>
        <w:t xml:space="preserve">the </w:t>
      </w:r>
      <w:r w:rsidRPr="00BB66A8">
        <w:rPr>
          <w:rFonts w:ascii="Times New Roman" w:hAnsi="Times New Roman" w:cs="Times New Roman"/>
        </w:rPr>
        <w:t xml:space="preserve">CD molecules. This indicated the loss of the crystalline state and the acquisition of the amorphous </w:t>
      </w:r>
      <w:r w:rsidR="00181587" w:rsidRPr="00BB66A8">
        <w:rPr>
          <w:rFonts w:ascii="Times New Roman" w:hAnsi="Times New Roman" w:cs="Times New Roman"/>
        </w:rPr>
        <w:t xml:space="preserve">one </w:t>
      </w:r>
      <w:r w:rsidRPr="00BB66A8">
        <w:rPr>
          <w:rFonts w:ascii="Times New Roman" w:hAnsi="Times New Roman" w:cs="Times New Roman"/>
        </w:rPr>
        <w:t>by BD</w:t>
      </w:r>
      <w:r w:rsidR="006F766B">
        <w:rPr>
          <w:rFonts w:ascii="Times New Roman" w:hAnsi="Times New Roman" w:cs="Times New Roman"/>
        </w:rPr>
        <w:t>,</w:t>
      </w:r>
      <w:r w:rsidRPr="00BB66A8">
        <w:rPr>
          <w:rFonts w:ascii="Times New Roman" w:hAnsi="Times New Roman" w:cs="Times New Roman"/>
        </w:rPr>
        <w:t xml:space="preserve"> as a result of lyophilization and</w:t>
      </w:r>
      <w:r w:rsidR="006F766B">
        <w:rPr>
          <w:rFonts w:ascii="Times New Roman" w:hAnsi="Times New Roman" w:cs="Times New Roman"/>
        </w:rPr>
        <w:t xml:space="preserve"> its</w:t>
      </w:r>
      <w:r w:rsidRPr="00BB66A8">
        <w:rPr>
          <w:rFonts w:ascii="Times New Roman" w:hAnsi="Times New Roman" w:cs="Times New Roman"/>
        </w:rPr>
        <w:t xml:space="preserve"> inclusion</w:t>
      </w:r>
      <w:r w:rsidR="006F766B">
        <w:rPr>
          <w:rFonts w:ascii="Times New Roman" w:hAnsi="Times New Roman" w:cs="Times New Roman"/>
        </w:rPr>
        <w:t xml:space="preserve"> </w:t>
      </w:r>
      <w:r w:rsidRPr="00BB66A8">
        <w:rPr>
          <w:rFonts w:ascii="Times New Roman" w:hAnsi="Times New Roman" w:cs="Times New Roman"/>
        </w:rPr>
        <w:t xml:space="preserve">within the hydrophobic cavity of HP-β-CD </w:t>
      </w:r>
      <w:r w:rsidR="00432BE0" w:rsidRPr="00BB66A8">
        <w:rPr>
          <w:rFonts w:ascii="Times New Roman" w:hAnsi="Times New Roman" w:cs="Times New Roman"/>
          <w:color w:val="000000"/>
        </w:rPr>
        <w:t>(Kim et al., 2014)</w:t>
      </w:r>
      <w:r w:rsidRPr="00BB66A8">
        <w:rPr>
          <w:rFonts w:ascii="Times New Roman" w:hAnsi="Times New Roman" w:cs="Times New Roman"/>
        </w:rPr>
        <w:t xml:space="preserve">. In the physical drug-free mixtures, only endothermic events related to PEG 6000 and tartaric acid were observed, which were present at 60 °C and 173 °C, respectively </w:t>
      </w:r>
      <w:r w:rsidR="00432BE0" w:rsidRPr="00BB66A8">
        <w:rPr>
          <w:rFonts w:ascii="Times New Roman" w:hAnsi="Times New Roman" w:cs="Times New Roman"/>
          <w:color w:val="000000"/>
        </w:rPr>
        <w:t>(Altamimi and Neau, 2017; Pereira et al., 2017)</w:t>
      </w:r>
      <w:r w:rsidRPr="00BB66A8">
        <w:rPr>
          <w:rFonts w:ascii="Times New Roman" w:hAnsi="Times New Roman" w:cs="Times New Roman"/>
        </w:rPr>
        <w:t xml:space="preserve">, both HPMC and CD being </w:t>
      </w:r>
      <w:r w:rsidR="00181587" w:rsidRPr="00BB66A8">
        <w:rPr>
          <w:rFonts w:ascii="Times New Roman" w:hAnsi="Times New Roman" w:cs="Times New Roman"/>
        </w:rPr>
        <w:t xml:space="preserve">intrinsically </w:t>
      </w:r>
      <w:r w:rsidRPr="00BB66A8">
        <w:rPr>
          <w:rFonts w:ascii="Times New Roman" w:hAnsi="Times New Roman" w:cs="Times New Roman"/>
        </w:rPr>
        <w:t xml:space="preserve">amorphous polymers. In contrast, the absence of the BD melting peak in MixBD, MixBD-CD, and MixIC mixtures was found as a result of a potential in situ interaction between the drug and polymers that occurred during thermal analysis </w:t>
      </w:r>
      <w:r w:rsidR="00432BE0" w:rsidRPr="00BB66A8">
        <w:rPr>
          <w:rFonts w:ascii="Times New Roman" w:hAnsi="Times New Roman" w:cs="Times New Roman"/>
          <w:color w:val="000000"/>
        </w:rPr>
        <w:t>(Lima et al., 2020)</w:t>
      </w:r>
      <w:r w:rsidRPr="00BB66A8">
        <w:rPr>
          <w:rFonts w:ascii="Times New Roman" w:hAnsi="Times New Roman" w:cs="Times New Roman"/>
        </w:rPr>
        <w:t>. In fact, since the glass transition temperatures of all the</w:t>
      </w:r>
      <w:r w:rsidR="007C3763">
        <w:rPr>
          <w:rFonts w:ascii="Times New Roman" w:hAnsi="Times New Roman" w:cs="Times New Roman"/>
        </w:rPr>
        <w:t xml:space="preserve"> components </w:t>
      </w:r>
      <w:r w:rsidRPr="00BB66A8">
        <w:rPr>
          <w:rFonts w:ascii="Times New Roman" w:hAnsi="Times New Roman" w:cs="Times New Roman"/>
        </w:rPr>
        <w:t>were lower than the melting temperature of BD (55</w:t>
      </w:r>
      <w:r w:rsidR="00612278">
        <w:rPr>
          <w:rFonts w:ascii="Times New Roman" w:hAnsi="Times New Roman" w:cs="Times New Roman"/>
        </w:rPr>
        <w:t xml:space="preserve"> </w:t>
      </w:r>
      <w:r w:rsidRPr="00BB66A8">
        <w:rPr>
          <w:rFonts w:ascii="Times New Roman" w:hAnsi="Times New Roman" w:cs="Times New Roman"/>
        </w:rPr>
        <w:t xml:space="preserve">°C, </w:t>
      </w:r>
      <w:r w:rsidR="00AB41AF" w:rsidRPr="00BB66A8">
        <w:rPr>
          <w:rFonts w:ascii="Times New Roman" w:hAnsi="Times New Roman" w:cs="Times New Roman"/>
        </w:rPr>
        <w:t xml:space="preserve">115 °C, </w:t>
      </w:r>
      <w:r w:rsidRPr="00BB66A8">
        <w:rPr>
          <w:rFonts w:ascii="Times New Roman" w:hAnsi="Times New Roman" w:cs="Times New Roman"/>
        </w:rPr>
        <w:t xml:space="preserve">120-180 °C, 157 °C, </w:t>
      </w:r>
      <w:r w:rsidR="00572472" w:rsidRPr="00BB66A8">
        <w:rPr>
          <w:rFonts w:ascii="Times New Roman" w:hAnsi="Times New Roman" w:cs="Times New Roman"/>
        </w:rPr>
        <w:t>and 173</w:t>
      </w:r>
      <w:r w:rsidRPr="00BB66A8">
        <w:rPr>
          <w:rFonts w:ascii="Times New Roman" w:hAnsi="Times New Roman" w:cs="Times New Roman"/>
        </w:rPr>
        <w:t xml:space="preserve"> °C for PEG 6000,</w:t>
      </w:r>
      <w:r w:rsidR="00AB41AF" w:rsidRPr="00BB66A8">
        <w:rPr>
          <w:rFonts w:ascii="Times New Roman" w:hAnsi="Times New Roman" w:cs="Times New Roman"/>
        </w:rPr>
        <w:t xml:space="preserve"> HMPC,</w:t>
      </w:r>
      <w:r w:rsidRPr="00BB66A8">
        <w:rPr>
          <w:rFonts w:ascii="Times New Roman" w:hAnsi="Times New Roman" w:cs="Times New Roman"/>
        </w:rPr>
        <w:t xml:space="preserve"> sodium bicarbonate, citric acid, and tartaric acid, respectively), high polymer mobility was generated during heat treatment, which promoted drug interactions with the polymers </w:t>
      </w:r>
      <w:r w:rsidR="00432BE0" w:rsidRPr="00BB66A8">
        <w:rPr>
          <w:rFonts w:ascii="Times New Roman" w:hAnsi="Times New Roman" w:cs="Times New Roman"/>
          <w:color w:val="000000"/>
        </w:rPr>
        <w:t>(Saokham et al., 2020)</w:t>
      </w:r>
      <w:r w:rsidRPr="00BB66A8">
        <w:rPr>
          <w:rFonts w:ascii="Times New Roman" w:hAnsi="Times New Roman" w:cs="Times New Roman"/>
        </w:rPr>
        <w:t>.</w:t>
      </w:r>
      <w:r w:rsidR="007C3763">
        <w:rPr>
          <w:rFonts w:ascii="Times New Roman" w:hAnsi="Times New Roman" w:cs="Times New Roman"/>
        </w:rPr>
        <w:t xml:space="preserve"> The absence of the endothermic peak of BD in the thermograms </w:t>
      </w:r>
      <w:r w:rsidRPr="00BB66A8">
        <w:rPr>
          <w:rFonts w:ascii="Times New Roman" w:hAnsi="Times New Roman" w:cs="Times New Roman"/>
        </w:rPr>
        <w:t>of the printed formulations</w:t>
      </w:r>
      <w:r w:rsidR="007C3763">
        <w:rPr>
          <w:rFonts w:ascii="Times New Roman" w:hAnsi="Times New Roman" w:cs="Times New Roman"/>
        </w:rPr>
        <w:t xml:space="preserve"> </w:t>
      </w:r>
      <w:r w:rsidR="00047F04" w:rsidRPr="00047F04">
        <w:rPr>
          <w:rFonts w:ascii="Times New Roman" w:hAnsi="Times New Roman" w:cs="Times New Roman"/>
        </w:rPr>
        <w:t>indicates the complete dispersion of the drug in amorphous form and its high compatibility with polymeric solid solutions</w:t>
      </w:r>
      <w:r w:rsidR="00047F04">
        <w:rPr>
          <w:rFonts w:ascii="Times New Roman" w:hAnsi="Times New Roman" w:cs="Times New Roman"/>
        </w:rPr>
        <w:t xml:space="preserve"> </w:t>
      </w:r>
      <w:r w:rsidR="00432BE0" w:rsidRPr="00BB66A8">
        <w:rPr>
          <w:rFonts w:ascii="Times New Roman" w:hAnsi="Times New Roman" w:cs="Times New Roman"/>
          <w:color w:val="000000"/>
        </w:rPr>
        <w:t>(Granados et al., 2022)</w:t>
      </w:r>
      <w:r w:rsidRPr="00BB66A8">
        <w:rPr>
          <w:rFonts w:ascii="Times New Roman" w:hAnsi="Times New Roman" w:cs="Times New Roman"/>
        </w:rPr>
        <w:t xml:space="preserve">. Thus, the demonstrated solubility of BD in the fused polymer mixture enabled the amorphization process of the drug and potentially generated a favourable condition for IC formation by DPE </w:t>
      </w:r>
      <w:r w:rsidR="00432BE0" w:rsidRPr="00BB66A8">
        <w:rPr>
          <w:rFonts w:ascii="Times New Roman" w:hAnsi="Times New Roman" w:cs="Times New Roman"/>
          <w:color w:val="000000"/>
        </w:rPr>
        <w:t>(Malaquias et al., 2018)</w:t>
      </w:r>
      <w:r w:rsidRPr="00BB66A8">
        <w:rPr>
          <w:rFonts w:ascii="Times New Roman" w:hAnsi="Times New Roman" w:cs="Times New Roman"/>
        </w:rPr>
        <w:t>.</w:t>
      </w:r>
    </w:p>
    <w:p w14:paraId="095CBBCC" w14:textId="77777777" w:rsidR="00755214" w:rsidRPr="00BB66A8" w:rsidRDefault="00755214" w:rsidP="001030ED">
      <w:pPr>
        <w:rPr>
          <w:rFonts w:ascii="Times New Roman" w:hAnsi="Times New Roman" w:cs="Times New Roman"/>
          <w:lang w:val="en-US" w:eastAsia="it-IT"/>
        </w:rPr>
      </w:pPr>
    </w:p>
    <w:p w14:paraId="7ADD6789" w14:textId="10E922DA" w:rsidR="00755214" w:rsidRPr="00755214" w:rsidRDefault="00755214" w:rsidP="00755214">
      <w:pPr>
        <w:jc w:val="center"/>
        <w:rPr>
          <w:rFonts w:ascii="Times New Roman" w:hAnsi="Times New Roman" w:cs="Times New Roman"/>
          <w:b/>
          <w:bCs/>
          <w:lang w:val="en-US" w:eastAsia="it-IT"/>
        </w:rPr>
      </w:pPr>
      <w:r w:rsidRPr="00AB2FA7">
        <w:rPr>
          <w:rFonts w:ascii="Times New Roman" w:hAnsi="Times New Roman" w:cs="Times New Roman"/>
          <w:b/>
          <w:bCs/>
          <w:noProof/>
          <w:lang w:eastAsia="it-IT"/>
        </w:rPr>
        <w:t>&lt;&lt; Insert Fig. 5&gt;&gt;</w:t>
      </w:r>
    </w:p>
    <w:p w14:paraId="5A18A4CD" w14:textId="77777777" w:rsidR="00A2620A" w:rsidRPr="00BB66A8" w:rsidRDefault="00A2620A" w:rsidP="001030ED">
      <w:pPr>
        <w:rPr>
          <w:rFonts w:ascii="Times New Roman" w:hAnsi="Times New Roman" w:cs="Times New Roman"/>
        </w:rPr>
      </w:pPr>
    </w:p>
    <w:p w14:paraId="6332B1AD" w14:textId="164ED33A" w:rsidR="00BF1F9A" w:rsidRPr="00BB66A8" w:rsidRDefault="006A7C93" w:rsidP="00756557">
      <w:pPr>
        <w:spacing w:after="0"/>
        <w:rPr>
          <w:rFonts w:ascii="Times New Roman" w:hAnsi="Times New Roman" w:cs="Times New Roman"/>
        </w:rPr>
      </w:pPr>
      <w:r w:rsidRPr="00BB66A8">
        <w:rPr>
          <w:rFonts w:ascii="Times New Roman" w:hAnsi="Times New Roman" w:cs="Times New Roman"/>
        </w:rPr>
        <w:t xml:space="preserve">In Fig. 6, from top to bottom, the powder X-ray diffraction patterns of each component of the </w:t>
      </w:r>
      <w:r w:rsidR="000E78FD" w:rsidRPr="00BB66A8">
        <w:rPr>
          <w:rFonts w:ascii="Times New Roman" w:hAnsi="Times New Roman" w:cs="Times New Roman"/>
        </w:rPr>
        <w:t xml:space="preserve">AB </w:t>
      </w:r>
      <w:r w:rsidRPr="00BB66A8">
        <w:rPr>
          <w:rFonts w:ascii="Times New Roman" w:hAnsi="Times New Roman" w:cs="Times New Roman"/>
        </w:rPr>
        <w:t xml:space="preserve">(Sodium Bicarbonate, Tartaric Acid, Citric Acid), the pure drug (BD), the </w:t>
      </w:r>
      <w:r w:rsidRPr="00BB66A8">
        <w:rPr>
          <w:rFonts w:ascii="Times New Roman" w:hAnsi="Times New Roman" w:cs="Times New Roman"/>
          <w:lang w:val="en-US" w:eastAsia="it-IT"/>
        </w:rPr>
        <w:t xml:space="preserve">physical mixtures </w:t>
      </w:r>
      <w:r w:rsidRPr="00BB66A8">
        <w:rPr>
          <w:rFonts w:ascii="Times New Roman" w:hAnsi="Times New Roman" w:cs="Times New Roman"/>
        </w:rPr>
        <w:t xml:space="preserve">without the drug (Mix1, Mix2/Mix3), the </w:t>
      </w:r>
      <w:r w:rsidRPr="00BB66A8">
        <w:rPr>
          <w:rFonts w:ascii="Times New Roman" w:hAnsi="Times New Roman" w:cs="Times New Roman"/>
          <w:lang w:val="en-US" w:eastAsia="it-IT"/>
        </w:rPr>
        <w:t>physical mixtures medicated</w:t>
      </w:r>
      <w:r w:rsidRPr="00BB66A8">
        <w:rPr>
          <w:rFonts w:ascii="Times New Roman" w:hAnsi="Times New Roman" w:cs="Times New Roman"/>
        </w:rPr>
        <w:t xml:space="preserve"> (MixBD, MixBD-CD, MixIC) and the obtained extruded formulations (MT1, MT2, MT3), are reported. The crystallinity of the pure BD is</w:t>
      </w:r>
      <w:r w:rsidR="007C3763">
        <w:rPr>
          <w:rFonts w:ascii="Times New Roman" w:hAnsi="Times New Roman" w:cs="Times New Roman"/>
        </w:rPr>
        <w:t xml:space="preserve"> underlined</w:t>
      </w:r>
      <w:r w:rsidRPr="00BB66A8">
        <w:rPr>
          <w:rFonts w:ascii="Times New Roman" w:hAnsi="Times New Roman" w:cs="Times New Roman"/>
        </w:rPr>
        <w:t xml:space="preserve"> by the</w:t>
      </w:r>
      <w:r w:rsidR="007C3763">
        <w:rPr>
          <w:rFonts w:ascii="Times New Roman" w:hAnsi="Times New Roman" w:cs="Times New Roman"/>
        </w:rPr>
        <w:t xml:space="preserve"> </w:t>
      </w:r>
      <w:r w:rsidRPr="00BB66A8">
        <w:rPr>
          <w:rFonts w:ascii="Times New Roman" w:hAnsi="Times New Roman" w:cs="Times New Roman"/>
        </w:rPr>
        <w:t>presence of sharp diffraction peaks, the intensity of which is reduced when the drug is inserted in Mix2/Mix3, as confirmed</w:t>
      </w:r>
      <w:r w:rsidR="007C3763">
        <w:rPr>
          <w:rFonts w:ascii="Times New Roman" w:hAnsi="Times New Roman" w:cs="Times New Roman"/>
        </w:rPr>
        <w:t xml:space="preserve"> also </w:t>
      </w:r>
      <w:r w:rsidRPr="00BB66A8">
        <w:rPr>
          <w:rFonts w:ascii="Times New Roman" w:hAnsi="Times New Roman" w:cs="Times New Roman"/>
        </w:rPr>
        <w:t>by the FT-IR results. In terms of crystallinity, there are no evident differences between MixBD-CD and MixIC</w:t>
      </w:r>
      <w:r w:rsidR="0075630F">
        <w:rPr>
          <w:rFonts w:ascii="Times New Roman" w:hAnsi="Times New Roman" w:cs="Times New Roman"/>
        </w:rPr>
        <w:t>.</w:t>
      </w:r>
    </w:p>
    <w:p w14:paraId="6FFD38DC" w14:textId="185E8E32" w:rsidR="00BF1F9A" w:rsidRPr="00BB66A8" w:rsidRDefault="006A7C93" w:rsidP="00756557">
      <w:pPr>
        <w:spacing w:after="0"/>
        <w:rPr>
          <w:rFonts w:ascii="Times New Roman" w:hAnsi="Times New Roman" w:cs="Times New Roman"/>
        </w:rPr>
      </w:pPr>
      <w:r w:rsidRPr="00BB66A8">
        <w:rPr>
          <w:rFonts w:ascii="Times New Roman" w:hAnsi="Times New Roman" w:cs="Times New Roman"/>
        </w:rPr>
        <w:t xml:space="preserve">Conversely, the almost complete disappearance of peaks in the pattern of </w:t>
      </w:r>
      <w:r w:rsidR="0075630F">
        <w:rPr>
          <w:rFonts w:ascii="Times New Roman" w:hAnsi="Times New Roman" w:cs="Times New Roman"/>
        </w:rPr>
        <w:t>MT1, MT2, and MT3</w:t>
      </w:r>
      <w:r w:rsidRPr="00BB66A8">
        <w:rPr>
          <w:rFonts w:ascii="Times New Roman" w:hAnsi="Times New Roman" w:cs="Times New Roman"/>
        </w:rPr>
        <w:t xml:space="preserve"> clearly shows the BD amorphization during the printing phase. This phenomenon, already pointed out by FT-IR and DSC results is</w:t>
      </w:r>
      <w:r w:rsidR="007C3763">
        <w:rPr>
          <w:rFonts w:ascii="Times New Roman" w:hAnsi="Times New Roman" w:cs="Times New Roman"/>
        </w:rPr>
        <w:t xml:space="preserve"> </w:t>
      </w:r>
      <w:r w:rsidRPr="00BB66A8">
        <w:rPr>
          <w:rFonts w:ascii="Times New Roman" w:hAnsi="Times New Roman" w:cs="Times New Roman"/>
        </w:rPr>
        <w:t xml:space="preserve">confirmed </w:t>
      </w:r>
      <w:r w:rsidR="007C3763">
        <w:rPr>
          <w:rFonts w:ascii="Times New Roman" w:hAnsi="Times New Roman" w:cs="Times New Roman"/>
        </w:rPr>
        <w:t xml:space="preserve">also </w:t>
      </w:r>
      <w:r w:rsidRPr="00BB66A8">
        <w:rPr>
          <w:rFonts w:ascii="Times New Roman" w:hAnsi="Times New Roman" w:cs="Times New Roman"/>
        </w:rPr>
        <w:t xml:space="preserve">by the PXRD analysis. </w:t>
      </w:r>
    </w:p>
    <w:p w14:paraId="4D75774A" w14:textId="790A8A79" w:rsidR="006A7C93" w:rsidRPr="00BB66A8" w:rsidRDefault="006A7C93" w:rsidP="00756557">
      <w:pPr>
        <w:spacing w:after="0"/>
        <w:rPr>
          <w:rFonts w:ascii="Times New Roman" w:hAnsi="Times New Roman" w:cs="Times New Roman"/>
        </w:rPr>
      </w:pPr>
      <w:r w:rsidRPr="00BB66A8">
        <w:rPr>
          <w:rFonts w:ascii="Times New Roman" w:hAnsi="Times New Roman" w:cs="Times New Roman"/>
        </w:rPr>
        <w:t>The few residual peaks still present in the formulation</w:t>
      </w:r>
      <w:r w:rsidR="00BF1F9A" w:rsidRPr="00BB66A8">
        <w:rPr>
          <w:rFonts w:ascii="Times New Roman" w:hAnsi="Times New Roman" w:cs="Times New Roman"/>
        </w:rPr>
        <w:t>s</w:t>
      </w:r>
      <w:r w:rsidRPr="00BB66A8">
        <w:rPr>
          <w:rFonts w:ascii="Times New Roman" w:hAnsi="Times New Roman" w:cs="Times New Roman"/>
        </w:rPr>
        <w:t xml:space="preserve"> are attributable to </w:t>
      </w:r>
      <w:r w:rsidR="00FB08FD" w:rsidRPr="00BB66A8">
        <w:rPr>
          <w:rFonts w:ascii="Times New Roman" w:hAnsi="Times New Roman" w:cs="Times New Roman"/>
        </w:rPr>
        <w:t>AB and</w:t>
      </w:r>
      <w:r w:rsidR="001208FD" w:rsidRPr="00BB66A8">
        <w:rPr>
          <w:rFonts w:ascii="Times New Roman" w:hAnsi="Times New Roman" w:cs="Times New Roman"/>
        </w:rPr>
        <w:t xml:space="preserve"> are of higher intensity in MT1 due </w:t>
      </w:r>
      <w:r w:rsidR="00A03EFC" w:rsidRPr="00BB66A8">
        <w:rPr>
          <w:rFonts w:ascii="Times New Roman" w:hAnsi="Times New Roman" w:cs="Times New Roman"/>
        </w:rPr>
        <w:t xml:space="preserve">to the </w:t>
      </w:r>
      <w:r w:rsidR="00BF1F9A" w:rsidRPr="00BB66A8">
        <w:rPr>
          <w:rFonts w:ascii="Times New Roman" w:hAnsi="Times New Roman" w:cs="Times New Roman"/>
          <w:lang w:val="en-US" w:eastAsia="it-IT"/>
        </w:rPr>
        <w:t xml:space="preserve">highest </w:t>
      </w:r>
      <w:r w:rsidR="00A03EFC" w:rsidRPr="00BB66A8">
        <w:rPr>
          <w:rFonts w:ascii="Times New Roman" w:hAnsi="Times New Roman" w:cs="Times New Roman"/>
          <w:lang w:val="en-US" w:eastAsia="it-IT"/>
        </w:rPr>
        <w:t>A</w:t>
      </w:r>
      <w:r w:rsidR="00B41A51" w:rsidRPr="00BB66A8">
        <w:rPr>
          <w:rFonts w:ascii="Times New Roman" w:hAnsi="Times New Roman" w:cs="Times New Roman"/>
          <w:lang w:val="en-US" w:eastAsia="it-IT"/>
        </w:rPr>
        <w:t>B</w:t>
      </w:r>
      <w:r w:rsidR="00A03EFC" w:rsidRPr="00BB66A8">
        <w:rPr>
          <w:rFonts w:ascii="Times New Roman" w:hAnsi="Times New Roman" w:cs="Times New Roman"/>
          <w:lang w:val="en-US" w:eastAsia="it-IT"/>
        </w:rPr>
        <w:t xml:space="preserve"> </w:t>
      </w:r>
      <w:r w:rsidR="00BF1F9A" w:rsidRPr="00BB66A8">
        <w:rPr>
          <w:rFonts w:ascii="Times New Roman" w:hAnsi="Times New Roman" w:cs="Times New Roman"/>
          <w:lang w:val="en-US" w:eastAsia="it-IT"/>
        </w:rPr>
        <w:t xml:space="preserve">concentration in </w:t>
      </w:r>
      <w:r w:rsidR="00A03EFC" w:rsidRPr="00BB66A8">
        <w:rPr>
          <w:rFonts w:ascii="Times New Roman" w:hAnsi="Times New Roman" w:cs="Times New Roman"/>
          <w:lang w:val="en-US" w:eastAsia="it-IT"/>
        </w:rPr>
        <w:t xml:space="preserve">it </w:t>
      </w:r>
      <w:r w:rsidR="002465F9" w:rsidRPr="00BB66A8">
        <w:rPr>
          <w:rFonts w:ascii="Times New Roman" w:hAnsi="Times New Roman" w:cs="Times New Roman"/>
          <w:lang w:val="en-US" w:eastAsia="it-IT"/>
        </w:rPr>
        <w:t xml:space="preserve">with </w:t>
      </w:r>
      <w:r w:rsidR="001208FD" w:rsidRPr="00BB66A8">
        <w:rPr>
          <w:rFonts w:ascii="Times New Roman" w:hAnsi="Times New Roman" w:cs="Times New Roman"/>
          <w:lang w:val="en-US" w:eastAsia="it-IT"/>
        </w:rPr>
        <w:t xml:space="preserve">respect </w:t>
      </w:r>
      <w:r w:rsidR="00BF1F9A" w:rsidRPr="00BB66A8">
        <w:rPr>
          <w:rFonts w:ascii="Times New Roman" w:hAnsi="Times New Roman" w:cs="Times New Roman"/>
          <w:lang w:val="en-US" w:eastAsia="it-IT"/>
        </w:rPr>
        <w:t>to the other formulations</w:t>
      </w:r>
      <w:r w:rsidRPr="00BB66A8">
        <w:rPr>
          <w:rFonts w:ascii="Times New Roman" w:hAnsi="Times New Roman" w:cs="Times New Roman"/>
        </w:rPr>
        <w:t>.</w:t>
      </w:r>
    </w:p>
    <w:p w14:paraId="613E4EBA" w14:textId="77777777" w:rsidR="00BF1F9A" w:rsidRPr="00BB66A8" w:rsidRDefault="00BF1F9A" w:rsidP="00756557">
      <w:pPr>
        <w:spacing w:after="0"/>
        <w:rPr>
          <w:rFonts w:ascii="Times New Roman" w:hAnsi="Times New Roman" w:cs="Times New Roman"/>
        </w:rPr>
      </w:pPr>
    </w:p>
    <w:p w14:paraId="0BD38A83" w14:textId="70884EE6" w:rsidR="006A7C93" w:rsidRPr="00BB66A8" w:rsidRDefault="006A7C93" w:rsidP="001030ED">
      <w:pPr>
        <w:rPr>
          <w:rFonts w:ascii="Times New Roman" w:hAnsi="Times New Roman" w:cs="Times New Roman"/>
        </w:rPr>
      </w:pPr>
    </w:p>
    <w:p w14:paraId="3586474D" w14:textId="34A14C10" w:rsidR="00755214" w:rsidRPr="00755214" w:rsidRDefault="00755214" w:rsidP="00755214">
      <w:pPr>
        <w:jc w:val="center"/>
        <w:rPr>
          <w:rFonts w:ascii="Times New Roman" w:hAnsi="Times New Roman" w:cs="Times New Roman"/>
          <w:b/>
          <w:bCs/>
          <w:lang w:val="en-US" w:eastAsia="it-IT"/>
        </w:rPr>
      </w:pPr>
      <w:r w:rsidRPr="00755214">
        <w:rPr>
          <w:rFonts w:ascii="Times New Roman" w:hAnsi="Times New Roman" w:cs="Times New Roman"/>
          <w:b/>
          <w:bCs/>
          <w:noProof/>
          <w:lang w:val="it-IT" w:eastAsia="it-IT"/>
        </w:rPr>
        <w:t xml:space="preserve">&lt;&lt; </w:t>
      </w:r>
      <w:r>
        <w:rPr>
          <w:rFonts w:ascii="Times New Roman" w:hAnsi="Times New Roman" w:cs="Times New Roman"/>
          <w:b/>
          <w:bCs/>
          <w:noProof/>
          <w:lang w:val="it-IT" w:eastAsia="it-IT"/>
        </w:rPr>
        <w:t>I</w:t>
      </w:r>
      <w:r w:rsidRPr="00755214">
        <w:rPr>
          <w:rFonts w:ascii="Times New Roman" w:hAnsi="Times New Roman" w:cs="Times New Roman"/>
          <w:b/>
          <w:bCs/>
          <w:noProof/>
          <w:lang w:val="it-IT" w:eastAsia="it-IT"/>
        </w:rPr>
        <w:t xml:space="preserve">nsert Fig. </w:t>
      </w:r>
      <w:r>
        <w:rPr>
          <w:rFonts w:ascii="Times New Roman" w:hAnsi="Times New Roman" w:cs="Times New Roman"/>
          <w:b/>
          <w:bCs/>
          <w:noProof/>
          <w:lang w:val="it-IT" w:eastAsia="it-IT"/>
        </w:rPr>
        <w:t>6</w:t>
      </w:r>
      <w:r w:rsidRPr="00755214">
        <w:rPr>
          <w:rFonts w:ascii="Times New Roman" w:hAnsi="Times New Roman" w:cs="Times New Roman"/>
          <w:b/>
          <w:bCs/>
          <w:noProof/>
          <w:lang w:val="it-IT" w:eastAsia="it-IT"/>
        </w:rPr>
        <w:t>&gt;&gt;</w:t>
      </w:r>
    </w:p>
    <w:p w14:paraId="5840EF10" w14:textId="77777777" w:rsidR="007F3A17" w:rsidRPr="00BB66A8" w:rsidRDefault="007F3A17" w:rsidP="001030ED">
      <w:pPr>
        <w:rPr>
          <w:rFonts w:ascii="Times New Roman" w:hAnsi="Times New Roman" w:cs="Times New Roman"/>
        </w:rPr>
      </w:pPr>
    </w:p>
    <w:p w14:paraId="6189C244" w14:textId="77777777" w:rsidR="00A2620A" w:rsidRPr="00BB66A8" w:rsidRDefault="00A2620A" w:rsidP="0011205A">
      <w:pPr>
        <w:pStyle w:val="Titolo3"/>
        <w:rPr>
          <w:rFonts w:ascii="Times New Roman" w:hAnsi="Times New Roman" w:cs="Times New Roman"/>
        </w:rPr>
      </w:pPr>
      <w:r w:rsidRPr="00BB66A8">
        <w:rPr>
          <w:rFonts w:ascii="Times New Roman" w:hAnsi="Times New Roman" w:cs="Times New Roman"/>
        </w:rPr>
        <w:t>In vitro dissolution test of printed Mini-Tablets</w:t>
      </w:r>
    </w:p>
    <w:p w14:paraId="7CEE9B64" w14:textId="7A38CBFB" w:rsidR="00A2620A" w:rsidRPr="00BB66A8" w:rsidRDefault="00DD6E4E" w:rsidP="00656F94">
      <w:pPr>
        <w:rPr>
          <w:rFonts w:ascii="Times New Roman" w:hAnsi="Times New Roman" w:cs="Times New Roman"/>
          <w:lang w:val="en-US" w:eastAsia="it-IT"/>
        </w:rPr>
      </w:pPr>
      <w:r w:rsidRPr="00DD6E4E">
        <w:rPr>
          <w:rFonts w:ascii="Times New Roman" w:hAnsi="Times New Roman" w:cs="Times New Roman"/>
          <w:lang w:val="en-US" w:eastAsia="it-IT"/>
        </w:rPr>
        <w:t>BD release studies from formulations obtained by the DPE 3D printing process were conducted for eight hours, employing fluids with pH values simulating the gastro-intestinal tract</w:t>
      </w:r>
      <w:r w:rsidR="00A2620A" w:rsidRPr="00BB66A8">
        <w:rPr>
          <w:rFonts w:ascii="Times New Roman" w:hAnsi="Times New Roman" w:cs="Times New Roman"/>
          <w:lang w:val="en-US" w:eastAsia="it-IT"/>
        </w:rPr>
        <w:t>.</w:t>
      </w:r>
      <w:bookmarkStart w:id="6" w:name="_Hlk116206783"/>
      <w:r w:rsidR="0044017C">
        <w:rPr>
          <w:rFonts w:ascii="Times New Roman" w:hAnsi="Times New Roman" w:cs="Times New Roman"/>
          <w:lang w:val="en-US" w:eastAsia="it-IT"/>
        </w:rPr>
        <w:t xml:space="preserve"> </w:t>
      </w:r>
      <w:r w:rsidR="0000114D" w:rsidRPr="002E7762">
        <w:rPr>
          <w:rFonts w:ascii="Times New Roman" w:hAnsi="Times New Roman" w:cs="Times New Roman"/>
          <w:lang w:val="en-US" w:eastAsia="it-IT"/>
        </w:rPr>
        <w:t>Formulations led to important changes in the properties of BD, concerning improvements in aqueous solubility and rate of dissolution compared to the pure drug</w:t>
      </w:r>
      <w:bookmarkEnd w:id="6"/>
      <w:r w:rsidR="00A2620A" w:rsidRPr="002E7762">
        <w:rPr>
          <w:rFonts w:ascii="Times New Roman" w:hAnsi="Times New Roman" w:cs="Times New Roman"/>
          <w:lang w:val="en-US" w:eastAsia="it-IT"/>
        </w:rPr>
        <w:t>.</w:t>
      </w:r>
      <w:r w:rsidR="00656F94" w:rsidRPr="00656F94">
        <w:t xml:space="preserve"> </w:t>
      </w:r>
      <w:r w:rsidR="00656F94" w:rsidRPr="00B64623">
        <w:rPr>
          <w:rFonts w:ascii="Times New Roman" w:hAnsi="Times New Roman" w:cs="Times New Roman"/>
          <w:lang w:val="en-US" w:eastAsia="it-IT"/>
        </w:rPr>
        <w:t xml:space="preserve">Indeed, BD as a crystalline and hydrophobic compound exhibited an </w:t>
      </w:r>
      <w:r w:rsidR="00656F94" w:rsidRPr="00B64623">
        <w:rPr>
          <w:rFonts w:ascii="Times New Roman" w:hAnsi="Times New Roman" w:cs="Times New Roman"/>
          <w:i/>
          <w:lang w:val="en-US" w:eastAsia="it-IT"/>
        </w:rPr>
        <w:t>in vitro</w:t>
      </w:r>
      <w:r w:rsidR="00656F94" w:rsidRPr="00B64623">
        <w:rPr>
          <w:rFonts w:ascii="Times New Roman" w:hAnsi="Times New Roman" w:cs="Times New Roman"/>
          <w:lang w:val="en-US" w:eastAsia="it-IT"/>
        </w:rPr>
        <w:t xml:space="preserve"> dissolution capacity of up to 14 ± 1.5%, when placed in a pH 7.4 medium (data not shown).</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 xml:space="preserve">This result evidenced the high efficiency of the DPE printing process in achieving the one-step formation of solid dispersions in which the drug particles were molecularly dispersed </w:t>
      </w:r>
      <w:r w:rsidR="00432BE0" w:rsidRPr="00BB66A8">
        <w:rPr>
          <w:rFonts w:ascii="Times New Roman" w:hAnsi="Times New Roman" w:cs="Times New Roman"/>
          <w:color w:val="000000"/>
        </w:rPr>
        <w:t>(Boniatti et al., 2021; Pistone et al., 2022)</w:t>
      </w:r>
      <w:r w:rsidR="00A2620A" w:rsidRPr="00BB66A8">
        <w:rPr>
          <w:rFonts w:ascii="Times New Roman" w:hAnsi="Times New Roman" w:cs="Times New Roman"/>
          <w:lang w:val="en-US" w:eastAsia="it-IT"/>
        </w:rPr>
        <w:t>. The</w:t>
      </w:r>
      <w:r w:rsidR="0042770A">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increase in surface area and the acquisition of the amorphous state </w:t>
      </w:r>
      <w:r w:rsidR="007D0F93">
        <w:rPr>
          <w:rFonts w:ascii="Times New Roman" w:hAnsi="Times New Roman" w:cs="Times New Roman"/>
          <w:lang w:val="en-US" w:eastAsia="it-IT"/>
        </w:rPr>
        <w:t xml:space="preserve">of </w:t>
      </w:r>
      <w:r w:rsidR="00A2620A" w:rsidRPr="00BB66A8">
        <w:rPr>
          <w:rFonts w:ascii="Times New Roman" w:hAnsi="Times New Roman" w:cs="Times New Roman"/>
          <w:lang w:val="en-US" w:eastAsia="it-IT"/>
        </w:rPr>
        <w:t xml:space="preserve">the drug were the main factors responsible for </w:t>
      </w:r>
      <w:r w:rsidR="008953B4" w:rsidRPr="00BB66A8">
        <w:rPr>
          <w:rFonts w:ascii="Times New Roman" w:hAnsi="Times New Roman" w:cs="Times New Roman"/>
          <w:lang w:val="en-US" w:eastAsia="it-IT"/>
        </w:rPr>
        <w:t xml:space="preserve">its </w:t>
      </w:r>
      <w:r w:rsidR="00A2620A" w:rsidRPr="00BB66A8">
        <w:rPr>
          <w:rFonts w:ascii="Times New Roman" w:hAnsi="Times New Roman" w:cs="Times New Roman"/>
          <w:lang w:val="en-US" w:eastAsia="it-IT"/>
        </w:rPr>
        <w:t xml:space="preserve">increased dissolution </w:t>
      </w:r>
      <w:r w:rsidR="00432BE0" w:rsidRPr="00BB66A8">
        <w:rPr>
          <w:rFonts w:ascii="Times New Roman" w:hAnsi="Times New Roman" w:cs="Times New Roman"/>
          <w:color w:val="000000"/>
        </w:rPr>
        <w:t>(Soltani et al., 2022)</w:t>
      </w:r>
      <w:r w:rsidR="00A2620A" w:rsidRPr="00BB66A8">
        <w:rPr>
          <w:rFonts w:ascii="Times New Roman" w:hAnsi="Times New Roman" w:cs="Times New Roman"/>
          <w:lang w:val="en-US" w:eastAsia="it-IT"/>
        </w:rPr>
        <w:t xml:space="preserve">. All MT formulations released 100% of </w:t>
      </w:r>
      <w:r w:rsidR="00A2620A" w:rsidRPr="00BB66A8">
        <w:rPr>
          <w:rFonts w:ascii="Times New Roman" w:hAnsi="Times New Roman" w:cs="Times New Roman"/>
          <w:lang w:val="en-US" w:eastAsia="it-IT"/>
        </w:rPr>
        <w:lastRenderedPageBreak/>
        <w:t xml:space="preserve">BD </w:t>
      </w:r>
      <w:r w:rsidR="007D0F93" w:rsidRPr="007D0F93">
        <w:rPr>
          <w:rFonts w:ascii="Times New Roman" w:hAnsi="Times New Roman" w:cs="Times New Roman"/>
          <w:lang w:val="en-US" w:eastAsia="it-IT"/>
        </w:rPr>
        <w:t>within</w:t>
      </w:r>
      <w:r w:rsidR="00A2620A" w:rsidRPr="00BB66A8">
        <w:rPr>
          <w:rFonts w:ascii="Times New Roman" w:hAnsi="Times New Roman" w:cs="Times New Roman"/>
          <w:lang w:val="en-US" w:eastAsia="it-IT"/>
        </w:rPr>
        <w:t xml:space="preserve"> the eight hours, however, showing differences in release profiles,</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as illustrated in Fig</w:t>
      </w:r>
      <w:r w:rsidR="00612278">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7. </w:t>
      </w:r>
      <w:r w:rsidR="008953B4" w:rsidRPr="00BB66A8">
        <w:rPr>
          <w:rFonts w:ascii="Times New Roman" w:hAnsi="Times New Roman" w:cs="Times New Roman"/>
          <w:lang w:val="en-US" w:eastAsia="it-IT"/>
        </w:rPr>
        <w:t>Specifically</w:t>
      </w:r>
      <w:r w:rsidR="00A2620A" w:rsidRPr="00BB66A8">
        <w:rPr>
          <w:rFonts w:ascii="Times New Roman" w:hAnsi="Times New Roman" w:cs="Times New Roman"/>
          <w:lang w:val="en-US" w:eastAsia="it-IT"/>
        </w:rPr>
        <w:t xml:space="preserve">, MT1 exhibited a slower and more gradual release of the drug that was completed after three hours </w:t>
      </w:r>
      <w:r w:rsidR="007D0F93" w:rsidRPr="003601DC">
        <w:rPr>
          <w:rFonts w:ascii="Times New Roman" w:hAnsi="Times New Roman" w:cs="Times New Roman"/>
          <w:lang w:val="en-US" w:eastAsia="it-IT"/>
        </w:rPr>
        <w:t xml:space="preserve">in the </w:t>
      </w:r>
      <w:r w:rsidR="004379E1" w:rsidRPr="003601DC">
        <w:rPr>
          <w:rFonts w:ascii="Times New Roman" w:hAnsi="Times New Roman" w:cs="Times New Roman"/>
          <w:lang w:val="en-US" w:eastAsia="it-IT"/>
        </w:rPr>
        <w:t xml:space="preserve">medium simulating the </w:t>
      </w:r>
      <w:r w:rsidR="007D0F93" w:rsidRPr="003601DC">
        <w:rPr>
          <w:rFonts w:ascii="Times New Roman" w:hAnsi="Times New Roman" w:cs="Times New Roman"/>
          <w:lang w:val="en-US" w:eastAsia="it-IT"/>
        </w:rPr>
        <w:t>colonic pH environment</w:t>
      </w:r>
      <w:r w:rsidR="007D0F93" w:rsidRPr="007D0F93">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(seven hours total), </w:t>
      </w:r>
      <w:r w:rsidR="0044017C" w:rsidRPr="0044017C">
        <w:rPr>
          <w:rFonts w:ascii="Times New Roman" w:hAnsi="Times New Roman" w:cs="Times New Roman"/>
          <w:lang w:val="en-US" w:eastAsia="it-IT"/>
        </w:rPr>
        <w:t xml:space="preserve">while MT2 and MT3 showed more rapid release that reached the totality of the loaded drug before reaching the colonic environment </w:t>
      </w:r>
      <w:r w:rsidR="0016069D">
        <w:rPr>
          <w:rFonts w:ascii="Times New Roman" w:hAnsi="Times New Roman" w:cs="Times New Roman"/>
          <w:lang w:val="en-US" w:eastAsia="it-IT"/>
        </w:rPr>
        <w:t>(</w:t>
      </w:r>
      <w:r w:rsidR="00A2620A" w:rsidRPr="00BB66A8">
        <w:rPr>
          <w:rFonts w:ascii="Times New Roman" w:hAnsi="Times New Roman" w:cs="Times New Roman"/>
          <w:lang w:val="en-US" w:eastAsia="it-IT"/>
        </w:rPr>
        <w:t>after four hours</w:t>
      </w:r>
      <w:r w:rsidR="0016069D">
        <w:rPr>
          <w:rFonts w:ascii="Times New Roman" w:hAnsi="Times New Roman" w:cs="Times New Roman"/>
          <w:lang w:val="en-US" w:eastAsia="it-IT"/>
        </w:rPr>
        <w:t>)</w:t>
      </w:r>
      <w:r w:rsidR="00A2620A" w:rsidRPr="00BB66A8">
        <w:rPr>
          <w:rFonts w:ascii="Times New Roman" w:hAnsi="Times New Roman" w:cs="Times New Roman"/>
          <w:lang w:val="en-US" w:eastAsia="it-IT"/>
        </w:rPr>
        <w:t>.</w:t>
      </w:r>
      <w:r w:rsidR="0042770A">
        <w:rPr>
          <w:rFonts w:ascii="Times New Roman" w:hAnsi="Times New Roman" w:cs="Times New Roman"/>
          <w:lang w:val="en-US" w:eastAsia="it-IT"/>
        </w:rPr>
        <w:t xml:space="preserve"> MT2 and MT3</w:t>
      </w:r>
      <w:r w:rsidR="00A2620A" w:rsidRPr="00BB66A8">
        <w:rPr>
          <w:rFonts w:ascii="Times New Roman" w:hAnsi="Times New Roman" w:cs="Times New Roman"/>
          <w:lang w:val="en-US" w:eastAsia="it-IT"/>
        </w:rPr>
        <w:t xml:space="preserve"> showed an almost perfect overlap of their respective release profiles, </w:t>
      </w:r>
      <w:r w:rsidR="00BF1F9A" w:rsidRPr="00BB66A8">
        <w:rPr>
          <w:rFonts w:ascii="Times New Roman" w:hAnsi="Times New Roman" w:cs="Times New Roman"/>
          <w:lang w:val="en-US" w:eastAsia="it-IT"/>
        </w:rPr>
        <w:t>confirming</w:t>
      </w:r>
      <w:r w:rsidR="00A2620A" w:rsidRPr="00BB66A8">
        <w:rPr>
          <w:rFonts w:ascii="Times New Roman" w:hAnsi="Times New Roman" w:cs="Times New Roman"/>
          <w:lang w:val="en-US" w:eastAsia="it-IT"/>
        </w:rPr>
        <w:t xml:space="preserve"> the formation of the IC via DPE (MT2) </w:t>
      </w:r>
      <w:r w:rsidR="00A2620A" w:rsidRPr="00BB66A8">
        <w:rPr>
          <w:rFonts w:ascii="Times New Roman" w:hAnsi="Times New Roman" w:cs="Times New Roman"/>
          <w:lang w:eastAsia="it-IT"/>
        </w:rPr>
        <w:t xml:space="preserve">and its comparability with the IC obtained by FD (MT3). </w:t>
      </w:r>
      <w:r w:rsidR="00A2620A" w:rsidRPr="00BB66A8">
        <w:rPr>
          <w:rFonts w:ascii="Times New Roman" w:hAnsi="Times New Roman" w:cs="Times New Roman"/>
          <w:lang w:val="en-US" w:eastAsia="it-IT"/>
        </w:rPr>
        <w:t xml:space="preserve">The observed differences </w:t>
      </w:r>
      <w:r w:rsidR="00BF1F9A" w:rsidRPr="00BB66A8">
        <w:rPr>
          <w:rFonts w:ascii="Times New Roman" w:hAnsi="Times New Roman" w:cs="Times New Roman"/>
          <w:lang w:val="en-US" w:eastAsia="it-IT"/>
        </w:rPr>
        <w:t xml:space="preserve">in </w:t>
      </w:r>
      <w:r w:rsidR="00A2620A" w:rsidRPr="00BB66A8">
        <w:rPr>
          <w:rFonts w:ascii="Times New Roman" w:hAnsi="Times New Roman" w:cs="Times New Roman"/>
          <w:lang w:val="en-US" w:eastAsia="it-IT"/>
        </w:rPr>
        <w:t>the dissolution curves of MT1 with MT2/MT3 depended on the polymeric composition of the matrix and mainly on the different concentrations of HPMC.</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 xml:space="preserve">It is well documented that HPMC is a polymer widely used for the development of oral sustained-release pharmaceutical forms due to its ability to swell after exposure to aqueous media that influences drug release kinetics </w:t>
      </w:r>
      <w:r w:rsidR="00432BE0" w:rsidRPr="00BB66A8">
        <w:rPr>
          <w:rFonts w:ascii="Times New Roman" w:hAnsi="Times New Roman" w:cs="Times New Roman"/>
          <w:color w:val="000000"/>
        </w:rPr>
        <w:t>(Palugan et al., 2021; Ribeiro et al., 2003)</w:t>
      </w:r>
      <w:r w:rsidR="00A2620A" w:rsidRPr="00BB66A8">
        <w:rPr>
          <w:rFonts w:ascii="Times New Roman" w:hAnsi="Times New Roman" w:cs="Times New Roman"/>
          <w:lang w:val="en-US" w:eastAsia="it-IT"/>
        </w:rPr>
        <w:t>.  In fact</w:t>
      </w:r>
      <w:r w:rsidR="00656F94">
        <w:rPr>
          <w:rFonts w:ascii="Times New Roman" w:hAnsi="Times New Roman" w:cs="Times New Roman"/>
          <w:lang w:val="en-US" w:eastAsia="it-IT"/>
        </w:rPr>
        <w:t>, w</w:t>
      </w:r>
      <w:r w:rsidR="00656F94" w:rsidRPr="00656F94">
        <w:rPr>
          <w:rFonts w:ascii="Times New Roman" w:hAnsi="Times New Roman" w:cs="Times New Roman"/>
          <w:lang w:val="en-US" w:eastAsia="it-IT"/>
        </w:rPr>
        <w:t>hen the polymer is hydrated</w:t>
      </w:r>
      <w:r w:rsidR="0042770A">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w:t>
      </w:r>
      <w:r w:rsidR="0016069D">
        <w:rPr>
          <w:rFonts w:ascii="Times New Roman" w:hAnsi="Times New Roman" w:cs="Times New Roman"/>
          <w:lang w:val="en-US" w:eastAsia="it-IT"/>
        </w:rPr>
        <w:t xml:space="preserve">it </w:t>
      </w:r>
      <w:r w:rsidR="00A2620A" w:rsidRPr="00BB66A8">
        <w:rPr>
          <w:rFonts w:ascii="Times New Roman" w:hAnsi="Times New Roman" w:cs="Times New Roman"/>
          <w:lang w:val="en-US" w:eastAsia="it-IT"/>
        </w:rPr>
        <w:t>generat</w:t>
      </w:r>
      <w:r w:rsidR="0042770A">
        <w:rPr>
          <w:rFonts w:ascii="Times New Roman" w:hAnsi="Times New Roman" w:cs="Times New Roman"/>
          <w:lang w:val="en-US" w:eastAsia="it-IT"/>
        </w:rPr>
        <w:t>es</w:t>
      </w:r>
      <w:r w:rsidR="00A2620A" w:rsidRPr="00BB66A8">
        <w:rPr>
          <w:rFonts w:ascii="Times New Roman" w:hAnsi="Times New Roman" w:cs="Times New Roman"/>
          <w:lang w:val="en-US" w:eastAsia="it-IT"/>
        </w:rPr>
        <w:t xml:space="preserve"> a dense viscous layer on the tablet surface that </w:t>
      </w:r>
      <w:r w:rsidR="00D06623">
        <w:rPr>
          <w:rFonts w:ascii="Times New Roman" w:hAnsi="Times New Roman" w:cs="Times New Roman"/>
          <w:lang w:val="en-US" w:eastAsia="it-IT"/>
        </w:rPr>
        <w:t>limits</w:t>
      </w:r>
      <w:r w:rsidR="00A2620A" w:rsidRPr="00BB66A8">
        <w:rPr>
          <w:rFonts w:ascii="Times New Roman" w:hAnsi="Times New Roman" w:cs="Times New Roman"/>
          <w:lang w:val="en-US" w:eastAsia="it-IT"/>
        </w:rPr>
        <w:t xml:space="preserve"> both the mobility of incoming water and outgoing drug </w:t>
      </w:r>
      <w:r w:rsidR="00432BE0" w:rsidRPr="00BB66A8">
        <w:rPr>
          <w:rFonts w:ascii="Times New Roman" w:hAnsi="Times New Roman" w:cs="Times New Roman"/>
          <w:color w:val="000000"/>
        </w:rPr>
        <w:t>(Xi et al., 2020)</w:t>
      </w:r>
      <w:r w:rsidR="00A2620A" w:rsidRPr="00BB66A8">
        <w:rPr>
          <w:rFonts w:ascii="Times New Roman" w:hAnsi="Times New Roman" w:cs="Times New Roman"/>
          <w:lang w:val="en-US" w:eastAsia="it-IT"/>
        </w:rPr>
        <w:t>. As the polymer concentration increase</w:t>
      </w:r>
      <w:r w:rsidR="0042770A">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further gelling of the polymer could occur, inducing slow erosion of the tablet </w:t>
      </w:r>
      <w:r w:rsidR="00432BE0" w:rsidRPr="00BB66A8">
        <w:rPr>
          <w:rFonts w:ascii="Times New Roman" w:hAnsi="Times New Roman" w:cs="Times New Roman"/>
          <w:color w:val="000000"/>
        </w:rPr>
        <w:t>(Xi et al., 2020)</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As previously described in Section 3.3, the presence of A</w:t>
      </w:r>
      <w:r w:rsidR="00A67878" w:rsidRPr="00BB66A8">
        <w:rPr>
          <w:rFonts w:ascii="Times New Roman" w:hAnsi="Times New Roman" w:cs="Times New Roman"/>
          <w:lang w:val="en-US" w:eastAsia="it-IT"/>
        </w:rPr>
        <w:t>B</w:t>
      </w:r>
      <w:r w:rsidR="00A2620A" w:rsidRPr="00BB66A8">
        <w:rPr>
          <w:rFonts w:ascii="Times New Roman" w:hAnsi="Times New Roman" w:cs="Times New Roman"/>
          <w:lang w:val="en-US" w:eastAsia="it-IT"/>
        </w:rPr>
        <w:t xml:space="preserve"> in the composition of MT</w:t>
      </w:r>
      <w:r w:rsidR="0016069D">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ha</w:t>
      </w:r>
      <w:r w:rsidR="0016069D">
        <w:rPr>
          <w:rFonts w:ascii="Times New Roman" w:hAnsi="Times New Roman" w:cs="Times New Roman"/>
          <w:lang w:val="en-US" w:eastAsia="it-IT"/>
        </w:rPr>
        <w:t>s</w:t>
      </w:r>
      <w:r w:rsidR="00A2620A" w:rsidRPr="00BB66A8">
        <w:rPr>
          <w:rFonts w:ascii="Times New Roman" w:hAnsi="Times New Roman" w:cs="Times New Roman"/>
          <w:lang w:val="en-US" w:eastAsia="it-IT"/>
        </w:rPr>
        <w:t xml:space="preserve"> a major impact on the degree of hydration of the polymer resulting in a high</w:t>
      </w:r>
      <w:r w:rsidR="00880D08">
        <w:rPr>
          <w:rFonts w:ascii="Times New Roman" w:hAnsi="Times New Roman" w:cs="Times New Roman"/>
          <w:lang w:val="en-US" w:eastAsia="it-IT"/>
        </w:rPr>
        <w:t xml:space="preserve"> influence</w:t>
      </w:r>
      <w:r w:rsidR="00A2620A" w:rsidRPr="00BB66A8">
        <w:rPr>
          <w:rFonts w:ascii="Times New Roman" w:hAnsi="Times New Roman" w:cs="Times New Roman"/>
          <w:lang w:val="en-US" w:eastAsia="it-IT"/>
        </w:rPr>
        <w:t xml:space="preserve"> </w:t>
      </w:r>
      <w:r w:rsidR="00E262E0">
        <w:rPr>
          <w:rFonts w:ascii="Times New Roman" w:hAnsi="Times New Roman" w:cs="Times New Roman"/>
          <w:lang w:val="en-US" w:eastAsia="it-IT"/>
        </w:rPr>
        <w:t>on</w:t>
      </w:r>
      <w:r w:rsidR="00A2620A" w:rsidRPr="00BB66A8">
        <w:rPr>
          <w:rFonts w:ascii="Times New Roman" w:hAnsi="Times New Roman" w:cs="Times New Roman"/>
          <w:lang w:val="en-US" w:eastAsia="it-IT"/>
        </w:rPr>
        <w:t xml:space="preserve"> its rate of disaggregation and dissolution </w:t>
      </w:r>
      <w:r w:rsidR="00432BE0" w:rsidRPr="00BB66A8">
        <w:rPr>
          <w:rFonts w:ascii="Times New Roman" w:hAnsi="Times New Roman" w:cs="Times New Roman"/>
          <w:color w:val="000000"/>
        </w:rPr>
        <w:t>(Takano et al., 2020)</w:t>
      </w:r>
      <w:r w:rsidR="00A2620A" w:rsidRPr="00BB66A8">
        <w:rPr>
          <w:rFonts w:ascii="Times New Roman" w:hAnsi="Times New Roman" w:cs="Times New Roman"/>
          <w:lang w:val="en-US" w:eastAsia="it-IT"/>
        </w:rPr>
        <w:t xml:space="preserve">. </w:t>
      </w:r>
      <w:r w:rsidR="00F90323" w:rsidRPr="00F90323">
        <w:rPr>
          <w:rFonts w:ascii="Times New Roman" w:hAnsi="Times New Roman" w:cs="Times New Roman"/>
          <w:lang w:val="en-US" w:eastAsia="it-IT"/>
        </w:rPr>
        <w:t xml:space="preserve">This was also confirmed by release studies of MTs that showed how the presence of salts, such as sodium bicarbonate, dehydrates the HPMC and reduces swelling of the matrix consequently inducing faster diffusion of the drug from the formulation. </w:t>
      </w:r>
      <w:r w:rsidR="00A2620A" w:rsidRPr="00BB66A8">
        <w:rPr>
          <w:rFonts w:ascii="Times New Roman" w:hAnsi="Times New Roman" w:cs="Times New Roman"/>
          <w:lang w:val="en-US" w:eastAsia="it-IT"/>
        </w:rPr>
        <w:t xml:space="preserve">Probably, </w:t>
      </w:r>
      <w:r w:rsidR="00DC3C11" w:rsidRPr="00BB66A8">
        <w:rPr>
          <w:rFonts w:ascii="Times New Roman" w:hAnsi="Times New Roman" w:cs="Times New Roman"/>
          <w:lang w:val="en-US" w:eastAsia="it-IT"/>
        </w:rPr>
        <w:t xml:space="preserve">in MT1 the high amount of HPMC </w:t>
      </w:r>
      <w:r w:rsidR="00A2620A" w:rsidRPr="00BB66A8">
        <w:rPr>
          <w:rFonts w:ascii="Times New Roman" w:hAnsi="Times New Roman" w:cs="Times New Roman"/>
          <w:lang w:val="en-US" w:eastAsia="it-IT"/>
        </w:rPr>
        <w:t>generated a very thick and viscous layer that the salts could not counteract, slowing the drug release.</w:t>
      </w:r>
      <w:r w:rsidR="00A2620A" w:rsidRPr="00BB66A8">
        <w:rPr>
          <w:rFonts w:ascii="Times New Roman" w:hAnsi="Times New Roman" w:cs="Times New Roman"/>
        </w:rPr>
        <w:t xml:space="preserve"> Instead, in MT2 and MT3 formulations, the modulation of drug release also depended on the presence of HP-β-CD, which increased the aqueous solubility of BD and improved its diffusion from the swollen barrier of the HPMC</w:t>
      </w:r>
      <w:r w:rsidR="00A2620A" w:rsidRPr="00BB66A8" w:rsidDel="004F59D3">
        <w:rPr>
          <w:rFonts w:ascii="Times New Roman" w:hAnsi="Times New Roman" w:cs="Times New Roman"/>
        </w:rPr>
        <w:t xml:space="preserve"> </w:t>
      </w:r>
      <w:r w:rsidR="00432BE0" w:rsidRPr="00BB66A8">
        <w:rPr>
          <w:rFonts w:ascii="Times New Roman" w:hAnsi="Times New Roman" w:cs="Times New Roman"/>
          <w:color w:val="000000"/>
        </w:rPr>
        <w:t>(Bibby et al., 2000; Pose-Vilarnovo et al., 2004)</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w:t>
      </w:r>
      <w:r w:rsidR="00233FDF" w:rsidRPr="00B64623">
        <w:rPr>
          <w:rFonts w:ascii="Times New Roman" w:hAnsi="Times New Roman" w:cs="Times New Roman"/>
        </w:rPr>
        <w:t xml:space="preserve">Specifically, already after the first two hours, there was a significant difference in the amount of drug released from MT1 compared to the other formulations, 42 ± </w:t>
      </w:r>
      <w:r w:rsidR="00E21A7F" w:rsidRPr="00B64623">
        <w:rPr>
          <w:rFonts w:ascii="Times New Roman" w:hAnsi="Times New Roman" w:cs="Times New Roman"/>
        </w:rPr>
        <w:t>2.5</w:t>
      </w:r>
      <w:r w:rsidR="00233FDF" w:rsidRPr="00B64623">
        <w:rPr>
          <w:rFonts w:ascii="Times New Roman" w:hAnsi="Times New Roman" w:cs="Times New Roman"/>
        </w:rPr>
        <w:t xml:space="preserve">% in the first case and about 80 ± </w:t>
      </w:r>
      <w:r w:rsidR="00E21A7F" w:rsidRPr="00B64623">
        <w:rPr>
          <w:rFonts w:ascii="Times New Roman" w:hAnsi="Times New Roman" w:cs="Times New Roman"/>
        </w:rPr>
        <w:t>4.1</w:t>
      </w:r>
      <w:r w:rsidR="00233FDF" w:rsidRPr="00B64623">
        <w:rPr>
          <w:rFonts w:ascii="Times New Roman" w:hAnsi="Times New Roman" w:cs="Times New Roman"/>
        </w:rPr>
        <w:t xml:space="preserve">% </w:t>
      </w:r>
      <w:r w:rsidR="0035049B" w:rsidRPr="00B64623">
        <w:rPr>
          <w:rFonts w:ascii="Times New Roman" w:hAnsi="Times New Roman" w:cs="Times New Roman"/>
        </w:rPr>
        <w:t>for</w:t>
      </w:r>
      <w:r w:rsidR="00233FDF" w:rsidRPr="00B64623">
        <w:rPr>
          <w:rFonts w:ascii="Times New Roman" w:hAnsi="Times New Roman" w:cs="Times New Roman"/>
        </w:rPr>
        <w:t xml:space="preserve"> MT2 and MT3</w:t>
      </w:r>
      <w:r w:rsidR="000260E2" w:rsidRPr="00B64623">
        <w:rPr>
          <w:rFonts w:ascii="Times New Roman" w:hAnsi="Times New Roman" w:cs="Times New Roman"/>
        </w:rPr>
        <w:t xml:space="preserve"> (p &lt;0.0001).</w:t>
      </w:r>
      <w:r w:rsidR="00233FDF">
        <w:rPr>
          <w:rFonts w:ascii="Times New Roman" w:hAnsi="Times New Roman" w:cs="Times New Roman"/>
        </w:rPr>
        <w:t xml:space="preserve"> </w:t>
      </w:r>
      <w:r w:rsidR="00A2620A" w:rsidRPr="00BB66A8">
        <w:rPr>
          <w:rFonts w:ascii="Times New Roman" w:hAnsi="Times New Roman" w:cs="Times New Roman"/>
          <w:lang w:val="en-US" w:eastAsia="it-IT"/>
        </w:rPr>
        <w:t xml:space="preserve">Indeed, </w:t>
      </w:r>
      <w:r w:rsidR="00DC3C11" w:rsidRPr="00BB66A8">
        <w:rPr>
          <w:rFonts w:ascii="Times New Roman" w:hAnsi="Times New Roman" w:cs="Times New Roman"/>
          <w:lang w:val="en-US" w:eastAsia="it-IT"/>
        </w:rPr>
        <w:t>it is known</w:t>
      </w:r>
      <w:r w:rsidR="00DC3C11" w:rsidRPr="00BB66A8" w:rsidDel="00DC3C11">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that CD may be able to alter the hydrodynamic layer around drug molecules, </w:t>
      </w:r>
      <w:r w:rsidR="00A2620A" w:rsidRPr="007A5906">
        <w:rPr>
          <w:rFonts w:ascii="Times New Roman" w:hAnsi="Times New Roman" w:cs="Times New Roman"/>
          <w:lang w:val="en-US" w:eastAsia="it-IT"/>
        </w:rPr>
        <w:t>inducing</w:t>
      </w:r>
      <w:r w:rsidR="00233FDF">
        <w:rPr>
          <w:rFonts w:ascii="Times New Roman" w:hAnsi="Times New Roman" w:cs="Times New Roman"/>
          <w:lang w:val="en-US" w:eastAsia="it-IT"/>
        </w:rPr>
        <w:t xml:space="preserve"> </w:t>
      </w:r>
      <w:r w:rsidR="00233FDF" w:rsidRPr="00233FDF">
        <w:rPr>
          <w:rFonts w:ascii="Times New Roman" w:hAnsi="Times New Roman" w:cs="Times New Roman"/>
          <w:lang w:val="en-US" w:eastAsia="it-IT"/>
        </w:rPr>
        <w:t>a rapid increase in dissolved drug concentration</w:t>
      </w:r>
      <w:r w:rsidR="00233FDF">
        <w:rPr>
          <w:rFonts w:ascii="Times New Roman" w:hAnsi="Times New Roman" w:cs="Times New Roman"/>
          <w:lang w:val="en-US" w:eastAsia="it-IT"/>
        </w:rPr>
        <w:t xml:space="preserve"> </w:t>
      </w:r>
      <w:r w:rsidR="00432BE0" w:rsidRPr="00BB66A8">
        <w:rPr>
          <w:rFonts w:ascii="Times New Roman" w:hAnsi="Times New Roman" w:cs="Times New Roman"/>
          <w:color w:val="000000"/>
        </w:rPr>
        <w:t>(Takano et al., 2020)</w:t>
      </w:r>
      <w:r w:rsidR="00A2620A" w:rsidRPr="00E262E0">
        <w:rPr>
          <w:rFonts w:ascii="Times New Roman" w:hAnsi="Times New Roman" w:cs="Times New Roman"/>
          <w:lang w:val="en-US" w:eastAsia="it-IT"/>
        </w:rPr>
        <w:t>.</w:t>
      </w:r>
      <w:r w:rsidR="00A2620A" w:rsidRPr="00E262E0">
        <w:rPr>
          <w:rFonts w:ascii="Times New Roman" w:hAnsi="Times New Roman" w:cs="Times New Roman"/>
        </w:rPr>
        <w:t xml:space="preserve"> </w:t>
      </w:r>
      <w:r w:rsidR="00A2620A" w:rsidRPr="00E262E0">
        <w:rPr>
          <w:rFonts w:ascii="Times New Roman" w:hAnsi="Times New Roman" w:cs="Times New Roman"/>
          <w:lang w:val="en-US" w:eastAsia="it-IT"/>
        </w:rPr>
        <w:t>Hence, the addition of HP-β-CD in the HPMC matrix showed a synergistic effect in inducing an increase in BD solubility, confirming numerous studies that had demonstrated that the sum of the individual solubility values related to CD and hydrophilic polymer was lower than the solubility found experimentally in the presence of both</w:t>
      </w:r>
      <w:r w:rsidR="00A2620A" w:rsidRPr="00BB66A8">
        <w:rPr>
          <w:rFonts w:ascii="Times New Roman" w:hAnsi="Times New Roman" w:cs="Times New Roman"/>
          <w:lang w:val="en-US" w:eastAsia="it-IT"/>
        </w:rPr>
        <w:t xml:space="preserve"> </w:t>
      </w:r>
      <w:r w:rsidR="00432BE0" w:rsidRPr="00BB66A8">
        <w:rPr>
          <w:rFonts w:ascii="Times New Roman" w:hAnsi="Times New Roman" w:cs="Times New Roman"/>
          <w:color w:val="000000"/>
        </w:rPr>
        <w:t>(Loftsson et al., 1999; Medarević et al., 2015; Ribeiro et al., 2003)</w:t>
      </w:r>
      <w:r w:rsidR="00A2620A" w:rsidRPr="00BB66A8">
        <w:rPr>
          <w:rFonts w:ascii="Times New Roman" w:hAnsi="Times New Roman" w:cs="Times New Roman"/>
          <w:lang w:val="en-US" w:eastAsia="it-IT"/>
        </w:rPr>
        <w:t xml:space="preserve">. </w:t>
      </w:r>
      <w:r w:rsidR="00E4212B" w:rsidRPr="00E4212B">
        <w:rPr>
          <w:rFonts w:ascii="Times New Roman" w:hAnsi="Times New Roman" w:cs="Times New Roman"/>
          <w:lang w:val="en-US" w:eastAsia="it-IT"/>
        </w:rPr>
        <w:t>Hydrophilic polymers, such as HPMC, stabilize the IC and implement complexation efficiency, allowing an improvement in some physico</w:t>
      </w:r>
      <w:r w:rsidR="00E4212B">
        <w:rPr>
          <w:rFonts w:ascii="Times New Roman" w:hAnsi="Times New Roman" w:cs="Times New Roman"/>
          <w:lang w:val="en-US" w:eastAsia="it-IT"/>
        </w:rPr>
        <w:t>-</w:t>
      </w:r>
      <w:r w:rsidR="00E4212B" w:rsidRPr="00E4212B">
        <w:rPr>
          <w:rFonts w:ascii="Times New Roman" w:hAnsi="Times New Roman" w:cs="Times New Roman"/>
          <w:lang w:val="en-US" w:eastAsia="it-IT"/>
        </w:rPr>
        <w:t>chemical properties, such as solubility and dissolution rate</w:t>
      </w:r>
      <w:r w:rsidR="00E4212B">
        <w:rPr>
          <w:rFonts w:ascii="Times New Roman" w:hAnsi="Times New Roman" w:cs="Times New Roman"/>
          <w:lang w:val="en-US" w:eastAsia="it-IT"/>
        </w:rPr>
        <w:t xml:space="preserve"> </w:t>
      </w:r>
      <w:r w:rsidR="00432BE0" w:rsidRPr="00BB66A8">
        <w:rPr>
          <w:rFonts w:ascii="Times New Roman" w:hAnsi="Times New Roman" w:cs="Times New Roman"/>
          <w:color w:val="000000"/>
        </w:rPr>
        <w:t>(Medarević et al., 2015)</w:t>
      </w:r>
      <w:r w:rsidR="00A2620A" w:rsidRPr="00BB66A8">
        <w:rPr>
          <w:rFonts w:ascii="Times New Roman" w:hAnsi="Times New Roman" w:cs="Times New Roman"/>
          <w:lang w:val="en-US" w:eastAsia="it-IT"/>
        </w:rPr>
        <w:t>. A similar effect</w:t>
      </w:r>
      <w:r w:rsidR="00880D08">
        <w:rPr>
          <w:rFonts w:ascii="Times New Roman" w:hAnsi="Times New Roman" w:cs="Times New Roman"/>
          <w:lang w:val="en-US" w:eastAsia="it-IT"/>
        </w:rPr>
        <w:t xml:space="preserve"> is</w:t>
      </w:r>
      <w:r w:rsidR="00A2620A" w:rsidRPr="00BB66A8">
        <w:rPr>
          <w:rFonts w:ascii="Times New Roman" w:hAnsi="Times New Roman" w:cs="Times New Roman"/>
          <w:lang w:val="en-US" w:eastAsia="it-IT"/>
        </w:rPr>
        <w:t xml:space="preserve"> also found after </w:t>
      </w:r>
      <w:r w:rsidR="000A5313" w:rsidRPr="00BB66A8">
        <w:rPr>
          <w:rFonts w:ascii="Times New Roman" w:hAnsi="Times New Roman" w:cs="Times New Roman"/>
          <w:lang w:val="en-US" w:eastAsia="it-IT"/>
        </w:rPr>
        <w:t xml:space="preserve">the </w:t>
      </w:r>
      <w:r w:rsidR="00A2620A" w:rsidRPr="00BB66A8">
        <w:rPr>
          <w:rFonts w:ascii="Times New Roman" w:hAnsi="Times New Roman" w:cs="Times New Roman"/>
          <w:lang w:val="en-US" w:eastAsia="it-IT"/>
        </w:rPr>
        <w:t>incorporation of small amounts of low molecular weight compounds, such as amino acids,</w:t>
      </w:r>
      <w:r w:rsidR="00586C02" w:rsidRPr="00BB66A8">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 xml:space="preserve">organic acids and bases </w:t>
      </w:r>
      <w:r w:rsidR="00432BE0" w:rsidRPr="00BB66A8">
        <w:rPr>
          <w:rFonts w:ascii="Times New Roman" w:hAnsi="Times New Roman" w:cs="Times New Roman"/>
          <w:color w:val="000000"/>
        </w:rPr>
        <w:t>(Aiassa et al., 2021)</w:t>
      </w:r>
      <w:r w:rsidR="00A2620A" w:rsidRPr="00BB66A8">
        <w:rPr>
          <w:rFonts w:ascii="Times New Roman" w:hAnsi="Times New Roman" w:cs="Times New Roman"/>
          <w:lang w:val="en-US" w:eastAsia="it-IT"/>
        </w:rPr>
        <w:t>.</w:t>
      </w:r>
      <w:r w:rsidR="00880D08">
        <w:rPr>
          <w:rFonts w:ascii="Times New Roman" w:hAnsi="Times New Roman" w:cs="Times New Roman"/>
          <w:lang w:val="en-US" w:eastAsia="it-IT"/>
        </w:rPr>
        <w:t xml:space="preserve"> Thus</w:t>
      </w:r>
      <w:r w:rsidR="00A2620A" w:rsidRPr="00BB66A8">
        <w:rPr>
          <w:rFonts w:ascii="Times New Roman" w:hAnsi="Times New Roman" w:cs="Times New Roman"/>
          <w:lang w:val="en-US" w:eastAsia="it-IT"/>
        </w:rPr>
        <w:t>, the presence of the hydroxycarboxylic acids of A</w:t>
      </w:r>
      <w:r w:rsidR="00B61CEF" w:rsidRPr="00BB66A8">
        <w:rPr>
          <w:rFonts w:ascii="Times New Roman" w:hAnsi="Times New Roman" w:cs="Times New Roman"/>
          <w:lang w:val="en-US" w:eastAsia="it-IT"/>
        </w:rPr>
        <w:t>B</w:t>
      </w:r>
      <w:r w:rsidR="00A2620A" w:rsidRPr="00BB66A8">
        <w:rPr>
          <w:rFonts w:ascii="Times New Roman" w:hAnsi="Times New Roman" w:cs="Times New Roman"/>
          <w:lang w:val="en-US" w:eastAsia="it-IT"/>
        </w:rPr>
        <w:t xml:space="preserve"> (citric acid and tartaric acid) could also enhance the interaction between BD and CD, performing the function of cross-linker between the two molecules </w:t>
      </w:r>
      <w:r w:rsidR="00432BE0" w:rsidRPr="00BB66A8">
        <w:rPr>
          <w:rFonts w:ascii="Times New Roman" w:hAnsi="Times New Roman" w:cs="Times New Roman"/>
          <w:color w:val="000000"/>
        </w:rPr>
        <w:t>(Londhe et al., 2020; Rakkaew et al., 2018)</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 xml:space="preserve">Indeed, citric acid and tartaric acid could form hydrogen bonds between the drug and the CD </w:t>
      </w:r>
      <w:r w:rsidR="00432BE0" w:rsidRPr="00BB66A8">
        <w:rPr>
          <w:rFonts w:ascii="Times New Roman" w:hAnsi="Times New Roman" w:cs="Times New Roman"/>
          <w:color w:val="000000"/>
        </w:rPr>
        <w:t>(Redenti et al., 2000)</w:t>
      </w:r>
      <w:r w:rsidR="00A2620A" w:rsidRPr="00BB66A8">
        <w:rPr>
          <w:rFonts w:ascii="Times New Roman" w:hAnsi="Times New Roman" w:cs="Times New Roman"/>
          <w:lang w:val="en-US" w:eastAsia="it-IT"/>
        </w:rPr>
        <w:t xml:space="preserve">, thanks to the presence of numerous hydrophilic groups in their structure, capable of causing an increase in the solubility and bioavailability of the drug </w:t>
      </w:r>
      <w:r w:rsidR="00432BE0" w:rsidRPr="00BB66A8">
        <w:rPr>
          <w:rFonts w:ascii="Times New Roman" w:hAnsi="Times New Roman" w:cs="Times New Roman"/>
          <w:color w:val="000000"/>
        </w:rPr>
        <w:t>(Barillaro et al., 2005; Jug et al., 2014)</w:t>
      </w:r>
      <w:r w:rsidR="00A2620A" w:rsidRPr="00BB66A8">
        <w:rPr>
          <w:rFonts w:ascii="Times New Roman" w:hAnsi="Times New Roman" w:cs="Times New Roman"/>
          <w:lang w:val="en-US" w:eastAsia="it-IT"/>
        </w:rPr>
        <w:t xml:space="preserve">. </w:t>
      </w:r>
    </w:p>
    <w:p w14:paraId="018E65BE" w14:textId="4E9308C6" w:rsidR="00A2620A" w:rsidRDefault="00A2620A" w:rsidP="005F074F">
      <w:pPr>
        <w:rPr>
          <w:rFonts w:ascii="Times New Roman" w:hAnsi="Times New Roman" w:cs="Times New Roman"/>
          <w:lang w:val="en-US" w:eastAsia="it-IT"/>
        </w:rPr>
      </w:pPr>
      <w:r w:rsidRPr="00BB66A8">
        <w:rPr>
          <w:rFonts w:ascii="Times New Roman" w:hAnsi="Times New Roman" w:cs="Times New Roman"/>
          <w:lang w:val="en-US" w:eastAsia="it-IT"/>
        </w:rPr>
        <w:t>The obtained results confirmed the amorphisation process undergone by the drug during DPE extrusion and suggested the formation of a multi-component complexation between BD/</w:t>
      </w:r>
      <w:r w:rsidR="00755214">
        <w:rPr>
          <w:rFonts w:ascii="Times New Roman" w:hAnsi="Times New Roman" w:cs="Times New Roman"/>
          <w:lang w:val="en-US" w:eastAsia="it-IT"/>
        </w:rPr>
        <w:t xml:space="preserve"> </w:t>
      </w:r>
      <w:r w:rsidR="00E467CC" w:rsidRPr="00BB66A8">
        <w:rPr>
          <w:rFonts w:ascii="Times New Roman" w:hAnsi="Times New Roman" w:cs="Times New Roman"/>
          <w:lang w:val="en-US" w:eastAsia="it-IT"/>
        </w:rPr>
        <w:t>HP-β-</w:t>
      </w:r>
      <w:r w:rsidRPr="00BB66A8">
        <w:rPr>
          <w:rFonts w:ascii="Times New Roman" w:hAnsi="Times New Roman" w:cs="Times New Roman"/>
          <w:lang w:val="en-US" w:eastAsia="it-IT"/>
        </w:rPr>
        <w:t>CD/ HPMC/ hydroxy acids. Both processes were desired to induce an improvement in the chemical and physical properties of BD.</w:t>
      </w:r>
    </w:p>
    <w:p w14:paraId="6C75BA28" w14:textId="77777777" w:rsidR="00755214" w:rsidRDefault="00755214" w:rsidP="005F074F">
      <w:pPr>
        <w:rPr>
          <w:rFonts w:ascii="Times New Roman" w:hAnsi="Times New Roman" w:cs="Times New Roman"/>
          <w:lang w:val="en-US" w:eastAsia="it-IT"/>
        </w:rPr>
      </w:pPr>
    </w:p>
    <w:p w14:paraId="1BE6EA42" w14:textId="34FEB775" w:rsidR="00755214" w:rsidRPr="00755214" w:rsidRDefault="00755214" w:rsidP="00755214">
      <w:pPr>
        <w:jc w:val="center"/>
        <w:rPr>
          <w:rFonts w:ascii="Times New Roman" w:hAnsi="Times New Roman" w:cs="Times New Roman"/>
          <w:b/>
          <w:bCs/>
          <w:lang w:val="en-US" w:eastAsia="it-IT"/>
        </w:rPr>
      </w:pPr>
      <w:r w:rsidRPr="00AB2FA7">
        <w:rPr>
          <w:rFonts w:ascii="Times New Roman" w:hAnsi="Times New Roman" w:cs="Times New Roman"/>
          <w:b/>
          <w:bCs/>
          <w:noProof/>
          <w:lang w:eastAsia="it-IT"/>
        </w:rPr>
        <w:t>&lt;&lt; Insert Fig. 7&gt;&gt;</w:t>
      </w:r>
    </w:p>
    <w:p w14:paraId="09FBF417" w14:textId="77777777" w:rsidR="00880D08" w:rsidRDefault="00880D08" w:rsidP="005F074F">
      <w:pPr>
        <w:rPr>
          <w:rFonts w:ascii="Times New Roman" w:hAnsi="Times New Roman" w:cs="Times New Roman"/>
          <w:b/>
          <w:bCs/>
          <w:lang w:val="en-US" w:eastAsia="it-IT"/>
        </w:rPr>
      </w:pPr>
    </w:p>
    <w:p w14:paraId="4929729D" w14:textId="5CE2D8BE" w:rsidR="00A2620A" w:rsidRPr="00BB66A8" w:rsidRDefault="00A2620A" w:rsidP="001030ED">
      <w:pPr>
        <w:rPr>
          <w:rFonts w:ascii="Times New Roman" w:hAnsi="Times New Roman" w:cs="Times New Roman"/>
          <w:lang w:val="en-US" w:eastAsia="it-IT"/>
        </w:rPr>
      </w:pPr>
      <w:r w:rsidRPr="00BB66A8">
        <w:rPr>
          <w:rFonts w:ascii="Times New Roman" w:hAnsi="Times New Roman" w:cs="Times New Roman"/>
          <w:lang w:val="en-US" w:eastAsia="it-IT"/>
        </w:rPr>
        <w:t xml:space="preserve">It </w:t>
      </w:r>
      <w:r w:rsidR="00224EA7">
        <w:rPr>
          <w:rFonts w:ascii="Times New Roman" w:hAnsi="Times New Roman" w:cs="Times New Roman"/>
          <w:lang w:val="en-US" w:eastAsia="it-IT"/>
        </w:rPr>
        <w:t>is</w:t>
      </w:r>
      <w:r w:rsidRPr="00BB66A8">
        <w:rPr>
          <w:rFonts w:ascii="Times New Roman" w:hAnsi="Times New Roman" w:cs="Times New Roman"/>
          <w:lang w:val="en-US" w:eastAsia="it-IT"/>
        </w:rPr>
        <w:t xml:space="preserve"> necessary to consider that the dissolution test on the printed MT</w:t>
      </w:r>
      <w:r w:rsidR="003F69AE" w:rsidRPr="00BB66A8">
        <w:rPr>
          <w:rFonts w:ascii="Times New Roman" w:hAnsi="Times New Roman" w:cs="Times New Roman"/>
          <w:lang w:val="en-US" w:eastAsia="it-IT"/>
        </w:rPr>
        <w:t>s</w:t>
      </w:r>
      <w:r w:rsidRPr="00BB66A8">
        <w:rPr>
          <w:rFonts w:ascii="Times New Roman" w:hAnsi="Times New Roman" w:cs="Times New Roman"/>
          <w:lang w:val="en-US" w:eastAsia="it-IT"/>
        </w:rPr>
        <w:t xml:space="preserve"> was carried out in order to evaluate the formulation most able to improve the solubility and dissolution rate of BD</w:t>
      </w:r>
      <w:r w:rsidR="00224EA7">
        <w:rPr>
          <w:rFonts w:ascii="Times New Roman" w:hAnsi="Times New Roman" w:cs="Times New Roman"/>
          <w:lang w:val="en-US" w:eastAsia="it-IT"/>
        </w:rPr>
        <w:t xml:space="preserve"> and</w:t>
      </w:r>
      <w:r w:rsidRPr="00BB66A8">
        <w:rPr>
          <w:rFonts w:ascii="Times New Roman" w:hAnsi="Times New Roman" w:cs="Times New Roman"/>
          <w:lang w:val="en-US" w:eastAsia="it-IT"/>
        </w:rPr>
        <w:t xml:space="preserve"> so as to increase its bioavailability to the colon once coated. From the obtained results,</w:t>
      </w:r>
      <w:r w:rsidR="00224EA7">
        <w:rPr>
          <w:rFonts w:ascii="Times New Roman" w:hAnsi="Times New Roman" w:cs="Times New Roman"/>
          <w:lang w:val="en-US" w:eastAsia="it-IT"/>
        </w:rPr>
        <w:t xml:space="preserve"> such a formulation was identified in MT2, </w:t>
      </w:r>
      <w:r w:rsidRPr="00BB66A8">
        <w:rPr>
          <w:rFonts w:ascii="Times New Roman" w:hAnsi="Times New Roman" w:cs="Times New Roman"/>
          <w:lang w:val="en-US" w:eastAsia="it-IT"/>
        </w:rPr>
        <w:t>which not only</w:t>
      </w:r>
      <w:r w:rsidR="00224EA7">
        <w:rPr>
          <w:rFonts w:ascii="Times New Roman" w:hAnsi="Times New Roman" w:cs="Times New Roman"/>
          <w:lang w:val="en-US" w:eastAsia="it-IT"/>
        </w:rPr>
        <w:t xml:space="preserve"> fulfilled its </w:t>
      </w:r>
      <w:r w:rsidRPr="00BB66A8">
        <w:rPr>
          <w:rFonts w:ascii="Times New Roman" w:hAnsi="Times New Roman" w:cs="Times New Roman"/>
          <w:lang w:val="en-US" w:eastAsia="it-IT"/>
        </w:rPr>
        <w:t>intended purpose</w:t>
      </w:r>
      <w:r w:rsidR="00224EA7">
        <w:rPr>
          <w:rFonts w:ascii="Times New Roman" w:hAnsi="Times New Roman" w:cs="Times New Roman"/>
          <w:lang w:val="en-US" w:eastAsia="it-IT"/>
        </w:rPr>
        <w:t>,</w:t>
      </w:r>
      <w:r w:rsidRPr="00BB66A8">
        <w:rPr>
          <w:rFonts w:ascii="Times New Roman" w:hAnsi="Times New Roman" w:cs="Times New Roman"/>
          <w:lang w:val="en-US" w:eastAsia="it-IT"/>
        </w:rPr>
        <w:t xml:space="preserve"> but also</w:t>
      </w:r>
      <w:r w:rsidR="00224EA7">
        <w:rPr>
          <w:rFonts w:ascii="Times New Roman" w:hAnsi="Times New Roman" w:cs="Times New Roman"/>
          <w:lang w:val="en-US" w:eastAsia="it-IT"/>
        </w:rPr>
        <w:t xml:space="preserve"> </w:t>
      </w:r>
      <w:r w:rsidRPr="00BB66A8">
        <w:rPr>
          <w:rFonts w:ascii="Times New Roman" w:hAnsi="Times New Roman" w:cs="Times New Roman"/>
          <w:lang w:val="en-US" w:eastAsia="it-IT"/>
        </w:rPr>
        <w:t>highlight</w:t>
      </w:r>
      <w:r w:rsidR="00224EA7">
        <w:rPr>
          <w:rFonts w:ascii="Times New Roman" w:hAnsi="Times New Roman" w:cs="Times New Roman"/>
          <w:lang w:val="en-US" w:eastAsia="it-IT"/>
        </w:rPr>
        <w:t>ed</w:t>
      </w:r>
      <w:r w:rsidRPr="00BB66A8">
        <w:rPr>
          <w:rFonts w:ascii="Times New Roman" w:hAnsi="Times New Roman" w:cs="Times New Roman"/>
          <w:lang w:val="en-US" w:eastAsia="it-IT"/>
        </w:rPr>
        <w:t xml:space="preserve"> the capabilities of the DPE technique in inducing the formation of a BD/CD IC stabilized by HPMC and hydroxy acids.</w:t>
      </w:r>
    </w:p>
    <w:p w14:paraId="561ECFD2" w14:textId="77777777" w:rsidR="00A2620A" w:rsidRPr="00BB66A8" w:rsidRDefault="00A2620A" w:rsidP="00A755EA">
      <w:pPr>
        <w:pStyle w:val="Titolo3"/>
        <w:rPr>
          <w:rFonts w:ascii="Times New Roman" w:hAnsi="Times New Roman" w:cs="Times New Roman"/>
        </w:rPr>
      </w:pPr>
      <w:r w:rsidRPr="00BB66A8">
        <w:rPr>
          <w:rFonts w:ascii="Times New Roman" w:hAnsi="Times New Roman" w:cs="Times New Roman"/>
        </w:rPr>
        <w:lastRenderedPageBreak/>
        <w:t>Characterisation of coated MT2</w:t>
      </w:r>
    </w:p>
    <w:p w14:paraId="77177C82" w14:textId="2CB01922" w:rsidR="00A2620A" w:rsidRPr="00BB66A8" w:rsidRDefault="00A2620A" w:rsidP="001030ED">
      <w:pPr>
        <w:rPr>
          <w:rFonts w:ascii="Times New Roman" w:hAnsi="Times New Roman" w:cs="Times New Roman"/>
        </w:rPr>
      </w:pPr>
      <w:r w:rsidRPr="00BB66A8">
        <w:rPr>
          <w:rFonts w:ascii="Times New Roman" w:hAnsi="Times New Roman" w:cs="Times New Roman"/>
        </w:rPr>
        <w:t xml:space="preserve">To enable modified, site-specific release at the colonic level, the strategy of exploiting local pH, which involved the use of pH-responsive polymers, </w:t>
      </w:r>
      <w:r w:rsidR="003A57A1">
        <w:rPr>
          <w:rFonts w:ascii="Times New Roman" w:hAnsi="Times New Roman" w:cs="Times New Roman"/>
        </w:rPr>
        <w:t xml:space="preserve">was </w:t>
      </w:r>
      <w:r w:rsidRPr="00BB66A8">
        <w:rPr>
          <w:rFonts w:ascii="Times New Roman" w:hAnsi="Times New Roman" w:cs="Times New Roman"/>
        </w:rPr>
        <w:t>applied. Eudragit FS 30 D, an anionic copolymer of methyl acrylate, methyl methacrylate</w:t>
      </w:r>
      <w:r w:rsidR="00D06623">
        <w:rPr>
          <w:rFonts w:ascii="Times New Roman" w:hAnsi="Times New Roman" w:cs="Times New Roman"/>
        </w:rPr>
        <w:t>,</w:t>
      </w:r>
      <w:r w:rsidRPr="00BB66A8">
        <w:rPr>
          <w:rFonts w:ascii="Times New Roman" w:hAnsi="Times New Roman" w:cs="Times New Roman"/>
        </w:rPr>
        <w:t xml:space="preserve"> and methacrylic acid,</w:t>
      </w:r>
      <w:r w:rsidR="00D86E88">
        <w:rPr>
          <w:rFonts w:ascii="Times New Roman" w:hAnsi="Times New Roman" w:cs="Times New Roman"/>
        </w:rPr>
        <w:t xml:space="preserve"> was </w:t>
      </w:r>
      <w:r w:rsidRPr="00BB66A8">
        <w:rPr>
          <w:rFonts w:ascii="Times New Roman" w:hAnsi="Times New Roman" w:cs="Times New Roman"/>
        </w:rPr>
        <w:t>selected for its ability to dissolve at pH=7</w:t>
      </w:r>
      <w:r w:rsidR="00F268A4">
        <w:rPr>
          <w:rFonts w:ascii="Times New Roman" w:hAnsi="Times New Roman" w:cs="Times New Roman"/>
        </w:rPr>
        <w:t>.0</w:t>
      </w:r>
      <w:r w:rsidRPr="00BB66A8">
        <w:rPr>
          <w:rFonts w:ascii="Times New Roman" w:hAnsi="Times New Roman" w:cs="Times New Roman"/>
        </w:rPr>
        <w:t xml:space="preserve">, specific to the colonic environment </w:t>
      </w:r>
      <w:r w:rsidR="00432BE0" w:rsidRPr="00BB66A8">
        <w:rPr>
          <w:rFonts w:ascii="Times New Roman" w:hAnsi="Times New Roman" w:cs="Times New Roman"/>
          <w:color w:val="000000"/>
        </w:rPr>
        <w:t>(Huyghebaert et al., 2004)</w:t>
      </w:r>
      <w:r w:rsidRPr="00BB66A8">
        <w:rPr>
          <w:rFonts w:ascii="Times New Roman" w:hAnsi="Times New Roman" w:cs="Times New Roman"/>
        </w:rPr>
        <w:t xml:space="preserve">. Eudragit FS 30 D, available as an aqueous dispersion with 30 % polymer content, had often been used as a coating polymer for </w:t>
      </w:r>
      <w:r w:rsidR="00B64623" w:rsidRPr="00B64623">
        <w:rPr>
          <w:rFonts w:ascii="Times New Roman" w:hAnsi="Times New Roman" w:cs="Times New Roman"/>
        </w:rPr>
        <w:t>enteric</w:t>
      </w:r>
      <w:r w:rsidR="008D5DEF" w:rsidRPr="00B64623">
        <w:rPr>
          <w:rFonts w:ascii="Times New Roman" w:hAnsi="Times New Roman" w:cs="Times New Roman"/>
        </w:rPr>
        <w:t xml:space="preserve"> release</w:t>
      </w:r>
      <w:r w:rsidR="008D5DEF" w:rsidRPr="008D5DEF">
        <w:rPr>
          <w:rFonts w:ascii="Times New Roman" w:hAnsi="Times New Roman" w:cs="Times New Roman"/>
        </w:rPr>
        <w:t xml:space="preserve"> </w:t>
      </w:r>
      <w:r w:rsidR="00432BE0" w:rsidRPr="00BB66A8">
        <w:rPr>
          <w:rFonts w:ascii="Times New Roman" w:hAnsi="Times New Roman" w:cs="Times New Roman"/>
          <w:color w:val="000000"/>
        </w:rPr>
        <w:t>(Letmanski et al., 2015; Moghimipour et al., 2018; Rabito et al., 2012)</w:t>
      </w:r>
      <w:r w:rsidRPr="00BB66A8">
        <w:rPr>
          <w:rFonts w:ascii="Times New Roman" w:hAnsi="Times New Roman" w:cs="Times New Roman"/>
        </w:rPr>
        <w:t xml:space="preserve">. Due to its low minimum film-forming temperature (14 °C) and glass transition temperature (45 °C), Eudragit FS 30 D </w:t>
      </w:r>
      <w:r w:rsidR="00D06623" w:rsidRPr="00A25BA7">
        <w:rPr>
          <w:rFonts w:ascii="Times New Roman" w:hAnsi="Times New Roman" w:cs="Times New Roman"/>
        </w:rPr>
        <w:t>does</w:t>
      </w:r>
      <w:r w:rsidRPr="00A25BA7">
        <w:rPr>
          <w:rFonts w:ascii="Times New Roman" w:hAnsi="Times New Roman" w:cs="Times New Roman"/>
        </w:rPr>
        <w:t xml:space="preserve"> not require</w:t>
      </w:r>
      <w:r w:rsidRPr="00BB66A8">
        <w:rPr>
          <w:rFonts w:ascii="Times New Roman" w:hAnsi="Times New Roman" w:cs="Times New Roman"/>
        </w:rPr>
        <w:t xml:space="preserve"> the inclusion of high amounts of plasticizing agents </w:t>
      </w:r>
      <w:r w:rsidR="00432BE0" w:rsidRPr="00BB66A8">
        <w:rPr>
          <w:rFonts w:ascii="Times New Roman" w:hAnsi="Times New Roman" w:cs="Times New Roman"/>
          <w:color w:val="000000"/>
        </w:rPr>
        <w:t>(Huyghebaert et al., 2004)</w:t>
      </w:r>
      <w:r w:rsidRPr="00BB66A8">
        <w:rPr>
          <w:rFonts w:ascii="Times New Roman" w:hAnsi="Times New Roman" w:cs="Times New Roman"/>
        </w:rPr>
        <w:t xml:space="preserve">, which are used in colloidal polymer suspensions to reduce process temperatures </w:t>
      </w:r>
      <w:r w:rsidR="00432BE0" w:rsidRPr="00BB66A8">
        <w:rPr>
          <w:rFonts w:ascii="Times New Roman" w:hAnsi="Times New Roman" w:cs="Times New Roman"/>
          <w:color w:val="000000"/>
        </w:rPr>
        <w:t>(Wesseling et al., 1999)</w:t>
      </w:r>
      <w:r w:rsidRPr="00BB66A8">
        <w:rPr>
          <w:rFonts w:ascii="Times New Roman" w:hAnsi="Times New Roman" w:cs="Times New Roman"/>
        </w:rPr>
        <w:t>. In fact, optimal processing conditions could be achieved by the addition of only 0.65 % (w/w) of the plasticizer triethyl citrate. However, it was</w:t>
      </w:r>
      <w:r w:rsidR="00D86E88">
        <w:rPr>
          <w:rFonts w:ascii="Times New Roman" w:hAnsi="Times New Roman" w:cs="Times New Roman"/>
        </w:rPr>
        <w:t xml:space="preserve"> deemed appropriate to add </w:t>
      </w:r>
      <w:r w:rsidRPr="00BB66A8">
        <w:rPr>
          <w:rFonts w:ascii="Times New Roman" w:hAnsi="Times New Roman" w:cs="Times New Roman"/>
        </w:rPr>
        <w:t>an anti-adhesion agent in the coating suspension</w:t>
      </w:r>
      <w:r w:rsidR="00D86E88">
        <w:rPr>
          <w:rFonts w:ascii="Times New Roman" w:hAnsi="Times New Roman" w:cs="Times New Roman"/>
        </w:rPr>
        <w:t>, identified in talc powder,</w:t>
      </w:r>
      <w:r w:rsidRPr="00BB66A8">
        <w:rPr>
          <w:rFonts w:ascii="Times New Roman" w:hAnsi="Times New Roman" w:cs="Times New Roman"/>
        </w:rPr>
        <w:t xml:space="preserve"> that could inhibit the agglomeration of polymer particles and induce an acceleration of the process </w:t>
      </w:r>
      <w:r w:rsidR="00432BE0" w:rsidRPr="00BB66A8">
        <w:rPr>
          <w:rFonts w:ascii="Times New Roman" w:hAnsi="Times New Roman" w:cs="Times New Roman"/>
          <w:color w:val="000000"/>
        </w:rPr>
        <w:t>(Maejima and McGinity, 2001; Wu and McGinity, 2003)</w:t>
      </w:r>
      <w:r w:rsidRPr="00BB66A8">
        <w:rPr>
          <w:rFonts w:ascii="Times New Roman" w:hAnsi="Times New Roman" w:cs="Times New Roman"/>
        </w:rPr>
        <w:t xml:space="preserve">. The importance of talc was mainly evident in aqueous-based coating suspensions, rather than in those based on organic solvents </w:t>
      </w:r>
      <w:r w:rsidR="00432BE0" w:rsidRPr="00BB66A8">
        <w:rPr>
          <w:rFonts w:ascii="Times New Roman" w:hAnsi="Times New Roman" w:cs="Times New Roman"/>
          <w:color w:val="000000"/>
        </w:rPr>
        <w:t>(El-Malah and Nazzal, 2008)</w:t>
      </w:r>
      <w:r w:rsidRPr="00BB66A8">
        <w:rPr>
          <w:rFonts w:ascii="Times New Roman" w:hAnsi="Times New Roman" w:cs="Times New Roman"/>
        </w:rPr>
        <w:t xml:space="preserve">. Indeed, in aqueous systems, the phenomena of coalescence and interdiffusion of polymer particles occurred as a result of the evaporation process of water </w:t>
      </w:r>
      <w:r w:rsidR="00432BE0" w:rsidRPr="00BB66A8">
        <w:rPr>
          <w:rFonts w:ascii="Times New Roman" w:hAnsi="Times New Roman" w:cs="Times New Roman"/>
          <w:color w:val="000000"/>
        </w:rPr>
        <w:t>(El-Malah and Nazzal, 2008)</w:t>
      </w:r>
      <w:r w:rsidRPr="00BB66A8">
        <w:rPr>
          <w:rFonts w:ascii="Times New Roman" w:hAnsi="Times New Roman" w:cs="Times New Roman"/>
        </w:rPr>
        <w:t xml:space="preserve">. The latter, combined with the high latent heat of vaporization, caused the stickiness of aqueous systems. Thus, the use of an anti-adhesion agent countered the high stickiness of aqueous systems.   </w:t>
      </w:r>
    </w:p>
    <w:p w14:paraId="75BBC00C" w14:textId="7B662608" w:rsidR="00DC1CA2" w:rsidRDefault="00A2620A" w:rsidP="001030ED">
      <w:pPr>
        <w:rPr>
          <w:rFonts w:ascii="Times New Roman" w:hAnsi="Times New Roman" w:cs="Times New Roman"/>
        </w:rPr>
      </w:pPr>
      <w:r w:rsidRPr="00BB66A8">
        <w:rPr>
          <w:rFonts w:ascii="Times New Roman" w:hAnsi="Times New Roman" w:cs="Times New Roman"/>
        </w:rPr>
        <w:t xml:space="preserve">The coating process resulted in two different batches of MT2 </w:t>
      </w:r>
      <w:r w:rsidR="007A0C76" w:rsidRPr="00BB66A8">
        <w:rPr>
          <w:rFonts w:ascii="Times New Roman" w:hAnsi="Times New Roman" w:cs="Times New Roman"/>
        </w:rPr>
        <w:t xml:space="preserve">(C-MT2s) </w:t>
      </w:r>
      <w:r w:rsidRPr="00BB66A8">
        <w:rPr>
          <w:rFonts w:ascii="Times New Roman" w:hAnsi="Times New Roman" w:cs="Times New Roman"/>
        </w:rPr>
        <w:t>depending on the final weight gain found. In fact, MT2 with 4 % and 6 % coating were obtained</w:t>
      </w:r>
      <w:r w:rsidR="00DC1CA2" w:rsidRPr="00BB66A8">
        <w:rPr>
          <w:rFonts w:ascii="Times New Roman" w:hAnsi="Times New Roman" w:cs="Times New Roman"/>
        </w:rPr>
        <w:t xml:space="preserve"> (Fig.</w:t>
      </w:r>
      <w:r w:rsidR="004F1FFE">
        <w:rPr>
          <w:rFonts w:ascii="Times New Roman" w:hAnsi="Times New Roman" w:cs="Times New Roman"/>
        </w:rPr>
        <w:t xml:space="preserve"> </w:t>
      </w:r>
      <w:r w:rsidR="00DC1CA2" w:rsidRPr="00BB66A8">
        <w:rPr>
          <w:rFonts w:ascii="Times New Roman" w:hAnsi="Times New Roman" w:cs="Times New Roman"/>
        </w:rPr>
        <w:t>8)</w:t>
      </w:r>
      <w:r w:rsidRPr="00BB66A8">
        <w:rPr>
          <w:rFonts w:ascii="Times New Roman" w:hAnsi="Times New Roman" w:cs="Times New Roman"/>
        </w:rPr>
        <w:t xml:space="preserve">.  </w:t>
      </w:r>
    </w:p>
    <w:p w14:paraId="18CDE8E9" w14:textId="77777777" w:rsidR="00755214" w:rsidRPr="00BB66A8" w:rsidRDefault="00755214" w:rsidP="001030ED">
      <w:pPr>
        <w:rPr>
          <w:rFonts w:ascii="Times New Roman" w:hAnsi="Times New Roman" w:cs="Times New Roman"/>
        </w:rPr>
      </w:pPr>
    </w:p>
    <w:p w14:paraId="375461F6" w14:textId="57F6AC82" w:rsidR="00755214" w:rsidRPr="00755214" w:rsidRDefault="00755214" w:rsidP="00755214">
      <w:pPr>
        <w:jc w:val="center"/>
        <w:rPr>
          <w:rFonts w:ascii="Times New Roman" w:hAnsi="Times New Roman" w:cs="Times New Roman"/>
          <w:b/>
          <w:bCs/>
          <w:lang w:val="en-US" w:eastAsia="it-IT"/>
        </w:rPr>
      </w:pPr>
      <w:r w:rsidRPr="00755214">
        <w:rPr>
          <w:rFonts w:ascii="Times New Roman" w:hAnsi="Times New Roman" w:cs="Times New Roman"/>
          <w:b/>
          <w:bCs/>
          <w:noProof/>
          <w:lang w:eastAsia="it-IT"/>
        </w:rPr>
        <w:t xml:space="preserve">&lt;&lt; Insert Fig. </w:t>
      </w:r>
      <w:r>
        <w:rPr>
          <w:rFonts w:ascii="Times New Roman" w:hAnsi="Times New Roman" w:cs="Times New Roman"/>
          <w:b/>
          <w:bCs/>
          <w:noProof/>
          <w:lang w:eastAsia="it-IT"/>
        </w:rPr>
        <w:t>8</w:t>
      </w:r>
      <w:r w:rsidRPr="00755214">
        <w:rPr>
          <w:rFonts w:ascii="Times New Roman" w:hAnsi="Times New Roman" w:cs="Times New Roman"/>
          <w:b/>
          <w:bCs/>
          <w:noProof/>
          <w:lang w:eastAsia="it-IT"/>
        </w:rPr>
        <w:t>&gt;&gt;</w:t>
      </w:r>
    </w:p>
    <w:p w14:paraId="67BEDB75" w14:textId="71151AD9" w:rsidR="00DC1CA2" w:rsidRPr="00755214" w:rsidRDefault="00DC1CA2" w:rsidP="00A23A55">
      <w:pPr>
        <w:jc w:val="center"/>
        <w:rPr>
          <w:rFonts w:ascii="Times New Roman" w:hAnsi="Times New Roman" w:cs="Times New Roman"/>
          <w:lang w:val="en-US"/>
        </w:rPr>
      </w:pPr>
    </w:p>
    <w:p w14:paraId="5B108388" w14:textId="20551308" w:rsidR="00A2620A" w:rsidRPr="00BB66A8" w:rsidRDefault="00A2620A" w:rsidP="001030ED">
      <w:pPr>
        <w:rPr>
          <w:rFonts w:ascii="Times New Roman" w:hAnsi="Times New Roman" w:cs="Times New Roman"/>
          <w:b/>
          <w:bCs/>
        </w:rPr>
      </w:pPr>
      <w:r w:rsidRPr="00BB66A8">
        <w:rPr>
          <w:rFonts w:ascii="Times New Roman" w:hAnsi="Times New Roman" w:cs="Times New Roman"/>
        </w:rPr>
        <w:t>A chemical microanalysis</w:t>
      </w:r>
      <w:r w:rsidR="00D86E88">
        <w:rPr>
          <w:rFonts w:ascii="Times New Roman" w:hAnsi="Times New Roman" w:cs="Times New Roman"/>
        </w:rPr>
        <w:t xml:space="preserve"> was </w:t>
      </w:r>
      <w:r w:rsidRPr="00BB66A8">
        <w:rPr>
          <w:rFonts w:ascii="Times New Roman" w:hAnsi="Times New Roman" w:cs="Times New Roman"/>
        </w:rPr>
        <w:t>carried out on both batches aimed at detecting the Si and Mg</w:t>
      </w:r>
      <w:r w:rsidR="007A0C76" w:rsidRPr="00BB66A8">
        <w:rPr>
          <w:rFonts w:ascii="Times New Roman" w:hAnsi="Times New Roman" w:cs="Times New Roman"/>
        </w:rPr>
        <w:t xml:space="preserve"> elements</w:t>
      </w:r>
      <w:r w:rsidRPr="00BB66A8">
        <w:rPr>
          <w:rFonts w:ascii="Times New Roman" w:hAnsi="Times New Roman" w:cs="Times New Roman"/>
        </w:rPr>
        <w:t xml:space="preserve">, </w:t>
      </w:r>
      <w:r w:rsidR="00D86E88">
        <w:rPr>
          <w:rFonts w:ascii="Times New Roman" w:hAnsi="Times New Roman" w:cs="Times New Roman"/>
        </w:rPr>
        <w:t xml:space="preserve">owned by </w:t>
      </w:r>
      <w:r w:rsidRPr="00BB66A8">
        <w:rPr>
          <w:rFonts w:ascii="Times New Roman" w:hAnsi="Times New Roman" w:cs="Times New Roman"/>
        </w:rPr>
        <w:t>the structure of talc,</w:t>
      </w:r>
      <w:r w:rsidR="00D86E88">
        <w:rPr>
          <w:rFonts w:ascii="Times New Roman" w:hAnsi="Times New Roman" w:cs="Times New Roman"/>
        </w:rPr>
        <w:t xml:space="preserve"> since it was present</w:t>
      </w:r>
      <w:r w:rsidRPr="00BB66A8">
        <w:rPr>
          <w:rFonts w:ascii="Times New Roman" w:hAnsi="Times New Roman" w:cs="Times New Roman"/>
        </w:rPr>
        <w:t xml:space="preserve"> only in the coating suspension. As can be seen in Fig</w:t>
      </w:r>
      <w:r w:rsidR="004F1FFE">
        <w:rPr>
          <w:rFonts w:ascii="Times New Roman" w:hAnsi="Times New Roman" w:cs="Times New Roman"/>
        </w:rPr>
        <w:t>.</w:t>
      </w:r>
      <w:r w:rsidRPr="00BB66A8">
        <w:rPr>
          <w:rFonts w:ascii="Times New Roman" w:hAnsi="Times New Roman" w:cs="Times New Roman"/>
        </w:rPr>
        <w:t xml:space="preserve"> </w:t>
      </w:r>
      <w:r w:rsidR="007B2ED1" w:rsidRPr="00BB66A8">
        <w:rPr>
          <w:rFonts w:ascii="Times New Roman" w:hAnsi="Times New Roman" w:cs="Times New Roman"/>
        </w:rPr>
        <w:t>9</w:t>
      </w:r>
      <w:r w:rsidRPr="00BB66A8">
        <w:rPr>
          <w:rFonts w:ascii="Times New Roman" w:hAnsi="Times New Roman" w:cs="Times New Roman"/>
        </w:rPr>
        <w:t>, C-MT2 4% and C-MT2 6% were homogeneously coated given the uniform distribution</w:t>
      </w:r>
      <w:r w:rsidR="007E3741">
        <w:rPr>
          <w:rFonts w:ascii="Times New Roman" w:hAnsi="Times New Roman" w:cs="Times New Roman"/>
        </w:rPr>
        <w:t xml:space="preserve"> of Si (in red) and Mg (in green)</w:t>
      </w:r>
      <w:r w:rsidRPr="00BB66A8">
        <w:rPr>
          <w:rFonts w:ascii="Times New Roman" w:hAnsi="Times New Roman" w:cs="Times New Roman"/>
        </w:rPr>
        <w:t xml:space="preserve"> on the surface of the respective MT</w:t>
      </w:r>
      <w:r w:rsidR="007E3741">
        <w:rPr>
          <w:rFonts w:ascii="Times New Roman" w:hAnsi="Times New Roman" w:cs="Times New Roman"/>
        </w:rPr>
        <w:t>.</w:t>
      </w:r>
      <w:r w:rsidRPr="00BB66A8">
        <w:rPr>
          <w:rFonts w:ascii="Times New Roman" w:hAnsi="Times New Roman" w:cs="Times New Roman"/>
        </w:rPr>
        <w:t xml:space="preserve"> </w:t>
      </w:r>
    </w:p>
    <w:p w14:paraId="0056C40F" w14:textId="5EC7EF12" w:rsidR="00A23A55" w:rsidRPr="00AB2FA7" w:rsidRDefault="00A23A55" w:rsidP="00A23A55">
      <w:pPr>
        <w:jc w:val="center"/>
        <w:rPr>
          <w:rFonts w:ascii="Times New Roman" w:hAnsi="Times New Roman" w:cs="Times New Roman"/>
          <w:noProof/>
          <w:lang w:eastAsia="it-IT"/>
        </w:rPr>
      </w:pPr>
    </w:p>
    <w:p w14:paraId="5993B908" w14:textId="792BF807" w:rsidR="00755214" w:rsidRPr="00755214" w:rsidRDefault="00755214" w:rsidP="00755214">
      <w:pPr>
        <w:jc w:val="center"/>
        <w:rPr>
          <w:rFonts w:ascii="Times New Roman" w:hAnsi="Times New Roman" w:cs="Times New Roman"/>
          <w:b/>
          <w:bCs/>
          <w:lang w:val="en-US" w:eastAsia="it-IT"/>
        </w:rPr>
      </w:pPr>
      <w:r w:rsidRPr="00755214">
        <w:rPr>
          <w:rFonts w:ascii="Times New Roman" w:hAnsi="Times New Roman" w:cs="Times New Roman"/>
          <w:b/>
          <w:bCs/>
          <w:noProof/>
          <w:lang w:eastAsia="it-IT"/>
        </w:rPr>
        <w:t>&lt;&lt; Insert Fig. 9&gt;&gt;</w:t>
      </w:r>
    </w:p>
    <w:p w14:paraId="372B758F" w14:textId="4693A06B" w:rsidR="00755214" w:rsidRPr="00755214" w:rsidRDefault="00755214" w:rsidP="00A23A55">
      <w:pPr>
        <w:jc w:val="center"/>
        <w:rPr>
          <w:rFonts w:ascii="Times New Roman" w:hAnsi="Times New Roman" w:cs="Times New Roman"/>
          <w:noProof/>
          <w:lang w:eastAsia="it-IT"/>
        </w:rPr>
      </w:pPr>
    </w:p>
    <w:p w14:paraId="01F83AA4" w14:textId="1A0EDF69" w:rsidR="007B2ED1" w:rsidRPr="00BB66A8" w:rsidRDefault="00A2620A" w:rsidP="00984C47">
      <w:pPr>
        <w:rPr>
          <w:rFonts w:ascii="Times New Roman" w:hAnsi="Times New Roman" w:cs="Times New Roman"/>
        </w:rPr>
      </w:pPr>
      <w:r w:rsidRPr="00BB66A8">
        <w:rPr>
          <w:rFonts w:ascii="Times New Roman" w:hAnsi="Times New Roman" w:cs="Times New Roman"/>
        </w:rPr>
        <w:t xml:space="preserve">SEM images of the cross-section of the C-MT2s (4% and 6%) allowed the measurement of the thickness of the coating layer and its </w:t>
      </w:r>
      <w:r w:rsidR="00535BE7" w:rsidRPr="00535BE7">
        <w:rPr>
          <w:rFonts w:ascii="Times New Roman" w:hAnsi="Times New Roman" w:cs="Times New Roman"/>
        </w:rPr>
        <w:t>uniform distribution on the surface of the MTs</w:t>
      </w:r>
      <w:r w:rsidRPr="00BB66A8">
        <w:rPr>
          <w:rFonts w:ascii="Times New Roman" w:hAnsi="Times New Roman" w:cs="Times New Roman"/>
        </w:rPr>
        <w:t xml:space="preserve">. As expected, a greater percentage of coating (6%) corresponded to a greater thickness, which was found to be 265 µm. In contrast, in C-MT2 4% the thickness identified was 162 µm, as </w:t>
      </w:r>
      <w:r w:rsidRPr="0088283D">
        <w:rPr>
          <w:rFonts w:ascii="Times New Roman" w:hAnsi="Times New Roman" w:cs="Times New Roman"/>
        </w:rPr>
        <w:t>shown</w:t>
      </w:r>
      <w:r w:rsidRPr="00BB66A8">
        <w:rPr>
          <w:rFonts w:ascii="Times New Roman" w:hAnsi="Times New Roman" w:cs="Times New Roman"/>
        </w:rPr>
        <w:t xml:space="preserve"> in Fig</w:t>
      </w:r>
      <w:r w:rsidR="004F1FFE">
        <w:rPr>
          <w:rFonts w:ascii="Times New Roman" w:hAnsi="Times New Roman" w:cs="Times New Roman"/>
        </w:rPr>
        <w:t>.</w:t>
      </w:r>
      <w:r w:rsidRPr="00BB66A8">
        <w:rPr>
          <w:rFonts w:ascii="Times New Roman" w:hAnsi="Times New Roman" w:cs="Times New Roman"/>
        </w:rPr>
        <w:t xml:space="preserve"> </w:t>
      </w:r>
      <w:r w:rsidR="007B2ED1" w:rsidRPr="00BB66A8">
        <w:rPr>
          <w:rFonts w:ascii="Times New Roman" w:hAnsi="Times New Roman" w:cs="Times New Roman"/>
        </w:rPr>
        <w:t>10</w:t>
      </w:r>
      <w:r w:rsidRPr="00BB66A8">
        <w:rPr>
          <w:rFonts w:ascii="Times New Roman" w:hAnsi="Times New Roman" w:cs="Times New Roman"/>
        </w:rPr>
        <w:t>.</w:t>
      </w:r>
    </w:p>
    <w:p w14:paraId="31A89D29" w14:textId="2A5A52EA" w:rsidR="007B2ED1" w:rsidRPr="00AB2FA7" w:rsidRDefault="007B2ED1" w:rsidP="00984C47">
      <w:pPr>
        <w:rPr>
          <w:rFonts w:ascii="Times New Roman" w:hAnsi="Times New Roman" w:cs="Times New Roman"/>
          <w:noProof/>
          <w:lang w:eastAsia="it-IT"/>
        </w:rPr>
      </w:pPr>
    </w:p>
    <w:p w14:paraId="4ACE75EE" w14:textId="75D6D9DF" w:rsidR="00755214" w:rsidRPr="00755214" w:rsidRDefault="00755214" w:rsidP="00755214">
      <w:pPr>
        <w:jc w:val="center"/>
        <w:rPr>
          <w:rFonts w:ascii="Times New Roman" w:hAnsi="Times New Roman" w:cs="Times New Roman"/>
          <w:b/>
          <w:bCs/>
          <w:lang w:val="en-US" w:eastAsia="it-IT"/>
        </w:rPr>
      </w:pPr>
      <w:r w:rsidRPr="00755214">
        <w:rPr>
          <w:rFonts w:ascii="Times New Roman" w:hAnsi="Times New Roman" w:cs="Times New Roman"/>
          <w:b/>
          <w:bCs/>
          <w:noProof/>
          <w:lang w:eastAsia="it-IT"/>
        </w:rPr>
        <w:t>&lt;&lt; Insert Fig. 10&gt;&gt;</w:t>
      </w:r>
    </w:p>
    <w:p w14:paraId="662BADA7" w14:textId="4E07D39C" w:rsidR="00755214" w:rsidRPr="00755214" w:rsidRDefault="00755214" w:rsidP="00984C47">
      <w:pPr>
        <w:rPr>
          <w:rFonts w:ascii="Times New Roman" w:hAnsi="Times New Roman" w:cs="Times New Roman"/>
          <w:noProof/>
          <w:lang w:eastAsia="it-IT"/>
        </w:rPr>
      </w:pPr>
    </w:p>
    <w:p w14:paraId="278B2277" w14:textId="7B5F522E" w:rsidR="00A2620A" w:rsidRPr="00BB66A8" w:rsidRDefault="00A2620A" w:rsidP="001030ED">
      <w:pPr>
        <w:rPr>
          <w:rFonts w:ascii="Times New Roman" w:hAnsi="Times New Roman" w:cs="Times New Roman"/>
        </w:rPr>
      </w:pPr>
      <w:r w:rsidRPr="00BB66A8">
        <w:rPr>
          <w:rFonts w:ascii="Times New Roman" w:hAnsi="Times New Roman" w:cs="Times New Roman"/>
        </w:rPr>
        <w:t xml:space="preserve">The disintegration test was conducted following the guidelines provided for gastro-resistant tablets given in F.U.I. XII </w:t>
      </w:r>
      <w:r w:rsidR="00432BE0" w:rsidRPr="00BB66A8">
        <w:rPr>
          <w:rFonts w:ascii="Times New Roman" w:hAnsi="Times New Roman" w:cs="Times New Roman"/>
          <w:color w:val="000000"/>
        </w:rPr>
        <w:t>(</w:t>
      </w:r>
      <w:r w:rsidR="006C2A56">
        <w:rPr>
          <w:rFonts w:ascii="Times New Roman" w:hAnsi="Times New Roman" w:cs="Times New Roman"/>
          <w:noProof/>
          <w:color w:val="000000"/>
        </w:rPr>
        <w:t>F.U.I. XII Ed</w:t>
      </w:r>
      <w:r w:rsidR="00432BE0" w:rsidRPr="00BB66A8">
        <w:rPr>
          <w:rFonts w:ascii="Times New Roman" w:hAnsi="Times New Roman" w:cs="Times New Roman"/>
          <w:color w:val="000000"/>
        </w:rPr>
        <w:t>.</w:t>
      </w:r>
      <w:r w:rsidR="00333424">
        <w:rPr>
          <w:rFonts w:ascii="Times New Roman" w:hAnsi="Times New Roman" w:cs="Times New Roman"/>
          <w:color w:val="000000"/>
        </w:rPr>
        <w:t>c</w:t>
      </w:r>
      <w:r w:rsidR="00432BE0" w:rsidRPr="00BB66A8">
        <w:rPr>
          <w:rFonts w:ascii="Times New Roman" w:hAnsi="Times New Roman" w:cs="Times New Roman"/>
          <w:color w:val="000000"/>
        </w:rPr>
        <w:t>)</w:t>
      </w:r>
      <w:r w:rsidRPr="00BB66A8">
        <w:rPr>
          <w:rFonts w:ascii="Times New Roman" w:hAnsi="Times New Roman" w:cs="Times New Roman"/>
        </w:rPr>
        <w:t xml:space="preserve">. Only one modification </w:t>
      </w:r>
      <w:r w:rsidR="007E3741">
        <w:rPr>
          <w:rFonts w:ascii="Times New Roman" w:hAnsi="Times New Roman" w:cs="Times New Roman"/>
        </w:rPr>
        <w:t>was</w:t>
      </w:r>
      <w:r w:rsidRPr="00BB66A8">
        <w:rPr>
          <w:rFonts w:ascii="Times New Roman" w:hAnsi="Times New Roman" w:cs="Times New Roman"/>
        </w:rPr>
        <w:t xml:space="preserve"> made regarding the pH value of the</w:t>
      </w:r>
      <w:r w:rsidR="007E3741">
        <w:rPr>
          <w:rFonts w:ascii="Times New Roman" w:hAnsi="Times New Roman" w:cs="Times New Roman"/>
        </w:rPr>
        <w:t xml:space="preserve"> </w:t>
      </w:r>
      <w:r w:rsidRPr="00BB66A8">
        <w:rPr>
          <w:rFonts w:ascii="Times New Roman" w:hAnsi="Times New Roman" w:cs="Times New Roman"/>
        </w:rPr>
        <w:t>basic medium</w:t>
      </w:r>
      <w:r w:rsidR="007E3741">
        <w:rPr>
          <w:rFonts w:ascii="Times New Roman" w:hAnsi="Times New Roman" w:cs="Times New Roman"/>
        </w:rPr>
        <w:t xml:space="preserve"> used</w:t>
      </w:r>
      <w:r w:rsidRPr="00BB66A8">
        <w:rPr>
          <w:rFonts w:ascii="Times New Roman" w:hAnsi="Times New Roman" w:cs="Times New Roman"/>
        </w:rPr>
        <w:t xml:space="preserve">, which was 7.4, rather than 6.8 as required. This change was necessary to induce pH-responsive dissolution of Eudragit FS 30 D. Thus, the C-MT2s </w:t>
      </w:r>
      <w:r w:rsidR="007A0C76" w:rsidRPr="00BB66A8">
        <w:rPr>
          <w:rFonts w:ascii="Times New Roman" w:hAnsi="Times New Roman" w:cs="Times New Roman"/>
        </w:rPr>
        <w:t xml:space="preserve">were </w:t>
      </w:r>
      <w:r w:rsidRPr="00BB66A8">
        <w:rPr>
          <w:rFonts w:ascii="Times New Roman" w:hAnsi="Times New Roman" w:cs="Times New Roman"/>
        </w:rPr>
        <w:t>placed first in an acidic medium (HCl 0.1 N, pH 1.2) for two hours and then in a basic medium (pH=7.4) for one hour</w:t>
      </w:r>
      <w:r w:rsidR="007E3741">
        <w:rPr>
          <w:rFonts w:ascii="Times New Roman" w:hAnsi="Times New Roman" w:cs="Times New Roman"/>
        </w:rPr>
        <w:t xml:space="preserve">. In particular, they remained </w:t>
      </w:r>
      <w:r w:rsidRPr="00BB66A8">
        <w:rPr>
          <w:rFonts w:ascii="Times New Roman" w:hAnsi="Times New Roman" w:cs="Times New Roman"/>
        </w:rPr>
        <w:t>intact and slightly swollen at the level of the core matrix after being in the acidic environment</w:t>
      </w:r>
      <w:r w:rsidR="007E3741">
        <w:rPr>
          <w:rFonts w:ascii="Times New Roman" w:hAnsi="Times New Roman" w:cs="Times New Roman"/>
        </w:rPr>
        <w:t>,</w:t>
      </w:r>
      <w:r w:rsidRPr="00BB66A8">
        <w:rPr>
          <w:rFonts w:ascii="Times New Roman" w:hAnsi="Times New Roman" w:cs="Times New Roman"/>
        </w:rPr>
        <w:t xml:space="preserve"> </w:t>
      </w:r>
      <w:r w:rsidR="007E3741">
        <w:rPr>
          <w:rFonts w:ascii="Times New Roman" w:hAnsi="Times New Roman" w:cs="Times New Roman"/>
        </w:rPr>
        <w:t>i</w:t>
      </w:r>
      <w:r w:rsidRPr="00BB66A8">
        <w:rPr>
          <w:rFonts w:ascii="Times New Roman" w:hAnsi="Times New Roman" w:cs="Times New Roman"/>
        </w:rPr>
        <w:t xml:space="preserve">n contrast, when replacement with the basic medium occurred, they began the disintegration process, as the coating </w:t>
      </w:r>
      <w:r w:rsidR="00DC235C">
        <w:rPr>
          <w:rFonts w:ascii="Times New Roman" w:hAnsi="Times New Roman" w:cs="Times New Roman"/>
        </w:rPr>
        <w:t>film</w:t>
      </w:r>
      <w:r w:rsidRPr="00BB66A8">
        <w:rPr>
          <w:rFonts w:ascii="Times New Roman" w:hAnsi="Times New Roman" w:cs="Times New Roman"/>
        </w:rPr>
        <w:t xml:space="preserve"> had </w:t>
      </w:r>
      <w:r w:rsidRPr="00BB66A8">
        <w:rPr>
          <w:rFonts w:ascii="Times New Roman" w:hAnsi="Times New Roman" w:cs="Times New Roman"/>
        </w:rPr>
        <w:lastRenderedPageBreak/>
        <w:t xml:space="preserve">started to dissolve. </w:t>
      </w:r>
      <w:r w:rsidR="007E3741">
        <w:rPr>
          <w:rFonts w:ascii="Times New Roman" w:hAnsi="Times New Roman" w:cs="Times New Roman"/>
        </w:rPr>
        <w:t xml:space="preserve">Therefore, based on the results of the </w:t>
      </w:r>
      <w:r w:rsidRPr="00BB66A8">
        <w:rPr>
          <w:rFonts w:ascii="Times New Roman" w:hAnsi="Times New Roman" w:cs="Times New Roman"/>
        </w:rPr>
        <w:t>conducted</w:t>
      </w:r>
      <w:r w:rsidR="007E3741" w:rsidRPr="007E3741">
        <w:rPr>
          <w:rFonts w:ascii="Times New Roman" w:hAnsi="Times New Roman" w:cs="Times New Roman"/>
        </w:rPr>
        <w:t xml:space="preserve"> </w:t>
      </w:r>
      <w:r w:rsidR="007E3741" w:rsidRPr="00BB66A8">
        <w:rPr>
          <w:rFonts w:ascii="Times New Roman" w:hAnsi="Times New Roman" w:cs="Times New Roman"/>
        </w:rPr>
        <w:t>analysis</w:t>
      </w:r>
      <w:r w:rsidRPr="00BB66A8">
        <w:rPr>
          <w:rFonts w:ascii="Times New Roman" w:hAnsi="Times New Roman" w:cs="Times New Roman"/>
        </w:rPr>
        <w:t>,</w:t>
      </w:r>
      <w:r w:rsidR="007E3741">
        <w:rPr>
          <w:rFonts w:ascii="Times New Roman" w:hAnsi="Times New Roman" w:cs="Times New Roman"/>
        </w:rPr>
        <w:t xml:space="preserve"> </w:t>
      </w:r>
      <w:r w:rsidRPr="00BB66A8">
        <w:rPr>
          <w:rFonts w:ascii="Times New Roman" w:hAnsi="Times New Roman" w:cs="Times New Roman"/>
        </w:rPr>
        <w:t>it</w:t>
      </w:r>
      <w:r w:rsidR="007E3741">
        <w:rPr>
          <w:rFonts w:ascii="Times New Roman" w:hAnsi="Times New Roman" w:cs="Times New Roman"/>
        </w:rPr>
        <w:t xml:space="preserve"> was agreed</w:t>
      </w:r>
      <w:r w:rsidRPr="00BB66A8">
        <w:rPr>
          <w:rFonts w:ascii="Times New Roman" w:hAnsi="Times New Roman" w:cs="Times New Roman"/>
        </w:rPr>
        <w:t xml:space="preserve"> that the coating </w:t>
      </w:r>
      <w:r w:rsidR="00DC235C">
        <w:rPr>
          <w:rFonts w:ascii="Times New Roman" w:hAnsi="Times New Roman" w:cs="Times New Roman"/>
        </w:rPr>
        <w:t>film</w:t>
      </w:r>
      <w:r w:rsidRPr="00BB66A8">
        <w:rPr>
          <w:rFonts w:ascii="Times New Roman" w:hAnsi="Times New Roman" w:cs="Times New Roman"/>
        </w:rPr>
        <w:t xml:space="preserve"> designed and applied on MT2 was effective in ensuring gastro-resistance and enabling site-specific release at the colonic level whether applied at 4 % or 6 %.</w:t>
      </w:r>
    </w:p>
    <w:p w14:paraId="1FB5F91D" w14:textId="77777777" w:rsidR="00A2620A" w:rsidRPr="00BB66A8" w:rsidRDefault="00A2620A" w:rsidP="004427B0">
      <w:pPr>
        <w:pStyle w:val="Titolo3"/>
        <w:rPr>
          <w:rFonts w:ascii="Times New Roman" w:hAnsi="Times New Roman" w:cs="Times New Roman"/>
        </w:rPr>
      </w:pPr>
      <w:r w:rsidRPr="00BB66A8">
        <w:rPr>
          <w:rFonts w:ascii="Times New Roman" w:hAnsi="Times New Roman" w:cs="Times New Roman"/>
        </w:rPr>
        <w:t>In vitro release studies on coated MT2</w:t>
      </w:r>
    </w:p>
    <w:p w14:paraId="232284C2" w14:textId="2A36E449" w:rsidR="00A2620A" w:rsidRDefault="009A0EB8" w:rsidP="00984C47">
      <w:pPr>
        <w:rPr>
          <w:rFonts w:ascii="Times New Roman" w:hAnsi="Times New Roman" w:cs="Times New Roman"/>
          <w:lang w:val="en-US" w:eastAsia="it-IT"/>
        </w:rPr>
      </w:pPr>
      <w:r w:rsidRPr="009A0EB8">
        <w:rPr>
          <w:rFonts w:ascii="Times New Roman" w:hAnsi="Times New Roman" w:cs="Times New Roman"/>
          <w:lang w:val="en-US" w:eastAsia="it-IT"/>
        </w:rPr>
        <w:t xml:space="preserve">The dissolution test was conducted on 4% and 6% C-MT2 in media with pH values simulating those of the gastrointestinal </w:t>
      </w:r>
      <w:r w:rsidRPr="00CB6C52">
        <w:rPr>
          <w:rFonts w:ascii="Times New Roman" w:hAnsi="Times New Roman" w:cs="Times New Roman"/>
          <w:lang w:val="en-US" w:eastAsia="it-IT"/>
        </w:rPr>
        <w:t>tract (in order: 1.2, 6.8, 7.4)</w:t>
      </w:r>
      <w:r w:rsidRPr="009A0EB8">
        <w:rPr>
          <w:rFonts w:ascii="Times New Roman" w:hAnsi="Times New Roman" w:cs="Times New Roman"/>
          <w:lang w:val="en-US" w:eastAsia="it-IT"/>
        </w:rPr>
        <w:t xml:space="preserve"> to compare the efficiency of the coating applied to MT2 versus uncoated MT2.</w:t>
      </w:r>
      <w:r w:rsidR="0088283D">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As can be seen in Fig</w:t>
      </w:r>
      <w:r w:rsidR="004F1FFE">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1</w:t>
      </w:r>
      <w:r w:rsidR="007B2ED1" w:rsidRPr="00BB66A8">
        <w:rPr>
          <w:rFonts w:ascii="Times New Roman" w:hAnsi="Times New Roman" w:cs="Times New Roman"/>
          <w:lang w:val="en-US" w:eastAsia="it-IT"/>
        </w:rPr>
        <w:t>1</w:t>
      </w:r>
      <w:r w:rsidR="00A2620A" w:rsidRPr="00BB66A8">
        <w:rPr>
          <w:rFonts w:ascii="Times New Roman" w:hAnsi="Times New Roman" w:cs="Times New Roman"/>
          <w:lang w:val="en-US" w:eastAsia="it-IT"/>
        </w:rPr>
        <w:t>, C-MT2 4% after the first two hours in acidic medium (pH 1.2)</w:t>
      </w:r>
      <w:r w:rsidR="00B22063">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induced BD release of about 10% and</w:t>
      </w:r>
      <w:r w:rsidR="00C961B4">
        <w:rPr>
          <w:rFonts w:ascii="Times New Roman" w:hAnsi="Times New Roman" w:cs="Times New Roman"/>
          <w:lang w:val="en-US" w:eastAsia="it-IT"/>
        </w:rPr>
        <w:t xml:space="preserve"> 30%</w:t>
      </w:r>
      <w:r w:rsidR="00A2620A" w:rsidRPr="00BB66A8">
        <w:rPr>
          <w:rFonts w:ascii="Times New Roman" w:hAnsi="Times New Roman" w:cs="Times New Roman"/>
          <w:lang w:val="en-US" w:eastAsia="it-IT"/>
        </w:rPr>
        <w:t xml:space="preserve"> after the next two hours in simulated enteric medium (pH 6.8). In contrast, C-MT2 6% released only 2% BD after passage in the first two media. In fact, C-MT2 4% already before reaching the simulated colonic fluid (pH 7.4) showed signs of erosion and dissolution of the film-forming coating, with partial swelling of the internal HPMC matrix (inset A, Fig</w:t>
      </w:r>
      <w:r w:rsidR="004F1FFE">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1</w:t>
      </w:r>
      <w:r w:rsidR="00586C02" w:rsidRPr="00BB66A8">
        <w:rPr>
          <w:rFonts w:ascii="Times New Roman" w:hAnsi="Times New Roman" w:cs="Times New Roman"/>
          <w:lang w:val="en-US" w:eastAsia="it-IT"/>
        </w:rPr>
        <w:t>1</w:t>
      </w:r>
      <w:r w:rsidR="00A2620A" w:rsidRPr="00BB66A8">
        <w:rPr>
          <w:rFonts w:ascii="Times New Roman" w:hAnsi="Times New Roman" w:cs="Times New Roman"/>
          <w:lang w:val="en-US" w:eastAsia="it-IT"/>
        </w:rPr>
        <w:t>), while C-MT2 6% showed complete integrity of its coating that had prevented changes in the state of the hydrophilic core (inset B, Fig</w:t>
      </w:r>
      <w:r w:rsidR="004F1FFE">
        <w:rPr>
          <w:rFonts w:ascii="Times New Roman" w:hAnsi="Times New Roman" w:cs="Times New Roman"/>
          <w:lang w:val="en-US" w:eastAsia="it-IT"/>
        </w:rPr>
        <w:t>.</w:t>
      </w:r>
      <w:r w:rsidR="00A2620A" w:rsidRPr="00BB66A8">
        <w:rPr>
          <w:rFonts w:ascii="Times New Roman" w:hAnsi="Times New Roman" w:cs="Times New Roman"/>
          <w:lang w:val="en-US" w:eastAsia="it-IT"/>
        </w:rPr>
        <w:t xml:space="preserve"> 1</w:t>
      </w:r>
      <w:r w:rsidR="007B2ED1" w:rsidRPr="00BB66A8">
        <w:rPr>
          <w:rFonts w:ascii="Times New Roman" w:hAnsi="Times New Roman" w:cs="Times New Roman"/>
          <w:lang w:val="en-US" w:eastAsia="it-IT"/>
        </w:rPr>
        <w:t>1</w:t>
      </w:r>
      <w:r w:rsidR="00A2620A" w:rsidRPr="00BB66A8">
        <w:rPr>
          <w:rFonts w:ascii="Times New Roman" w:hAnsi="Times New Roman" w:cs="Times New Roman"/>
          <w:lang w:val="en-US" w:eastAsia="it-IT"/>
        </w:rPr>
        <w:t>).</w:t>
      </w:r>
      <w:r w:rsidR="00A2620A" w:rsidRPr="00BB66A8">
        <w:rPr>
          <w:rFonts w:ascii="Times New Roman" w:hAnsi="Times New Roman" w:cs="Times New Roman"/>
        </w:rPr>
        <w:t xml:space="preserve"> A very important factor that may have determined this difference between the two coated formulations was probably the thickness of the coating layer. In fact, in the literature, numerous studies highlight the influence of coating thickness on the regulation of drug release </w:t>
      </w:r>
      <w:r w:rsidR="00432BE0" w:rsidRPr="00BB66A8">
        <w:rPr>
          <w:rFonts w:ascii="Times New Roman" w:hAnsi="Times New Roman" w:cs="Times New Roman"/>
          <w:color w:val="000000"/>
        </w:rPr>
        <w:t>(Gao et al., 2006)</w:t>
      </w:r>
      <w:r w:rsidR="00A2620A" w:rsidRPr="00BB66A8">
        <w:rPr>
          <w:rFonts w:ascii="Times New Roman" w:hAnsi="Times New Roman" w:cs="Times New Roman"/>
        </w:rPr>
        <w:t xml:space="preserve">. </w:t>
      </w:r>
      <w:r w:rsidR="00A2620A" w:rsidRPr="00BB66A8">
        <w:rPr>
          <w:rFonts w:ascii="Times New Roman" w:hAnsi="Times New Roman" w:cs="Times New Roman"/>
          <w:lang w:val="en-US" w:eastAsia="it-IT"/>
        </w:rPr>
        <w:t>Therefore, C-MT2 6% proved to be the most promising formulation for selective and specific colonic targeting due to the high thickness of its coating layer, which</w:t>
      </w:r>
      <w:r w:rsidR="00B22063">
        <w:rPr>
          <w:rFonts w:ascii="Times New Roman" w:hAnsi="Times New Roman" w:cs="Times New Roman"/>
          <w:lang w:val="en-US" w:eastAsia="it-IT"/>
        </w:rPr>
        <w:t xml:space="preserve"> </w:t>
      </w:r>
      <w:r w:rsidR="00A2620A" w:rsidRPr="00BB66A8">
        <w:rPr>
          <w:rFonts w:ascii="Times New Roman" w:hAnsi="Times New Roman" w:cs="Times New Roman"/>
          <w:lang w:val="en-US" w:eastAsia="it-IT"/>
        </w:rPr>
        <w:t>enabled it</w:t>
      </w:r>
      <w:r w:rsidR="00B22063">
        <w:rPr>
          <w:rFonts w:ascii="Times New Roman" w:hAnsi="Times New Roman" w:cs="Times New Roman"/>
          <w:lang w:val="en-US" w:eastAsia="it-IT"/>
        </w:rPr>
        <w:t xml:space="preserve"> better </w:t>
      </w:r>
      <w:r w:rsidR="00A2620A" w:rsidRPr="00BB66A8">
        <w:rPr>
          <w:rFonts w:ascii="Times New Roman" w:hAnsi="Times New Roman" w:cs="Times New Roman"/>
          <w:lang w:val="en-US" w:eastAsia="it-IT"/>
        </w:rPr>
        <w:t>to resist pH changes.</w:t>
      </w:r>
    </w:p>
    <w:p w14:paraId="41C138CD" w14:textId="77777777" w:rsidR="00755214" w:rsidRPr="00BB66A8" w:rsidRDefault="00755214" w:rsidP="00984C47">
      <w:pPr>
        <w:rPr>
          <w:rFonts w:ascii="Times New Roman" w:hAnsi="Times New Roman" w:cs="Times New Roman"/>
          <w:lang w:val="en-US" w:eastAsia="it-IT"/>
        </w:rPr>
      </w:pPr>
    </w:p>
    <w:p w14:paraId="3F28BDC3" w14:textId="74C45BC8" w:rsidR="00A2620A" w:rsidRPr="00755214" w:rsidRDefault="00755214" w:rsidP="00755214">
      <w:pPr>
        <w:jc w:val="center"/>
        <w:rPr>
          <w:rFonts w:ascii="Times New Roman" w:hAnsi="Times New Roman" w:cs="Times New Roman"/>
          <w:b/>
          <w:bCs/>
          <w:lang w:val="en-US" w:eastAsia="it-IT"/>
        </w:rPr>
      </w:pPr>
      <w:bookmarkStart w:id="7" w:name="_Hlk116144424"/>
      <w:r w:rsidRPr="00755214">
        <w:rPr>
          <w:rFonts w:ascii="Times New Roman" w:hAnsi="Times New Roman" w:cs="Times New Roman"/>
          <w:b/>
          <w:bCs/>
          <w:noProof/>
          <w:lang w:val="it-IT" w:eastAsia="it-IT"/>
        </w:rPr>
        <w:t xml:space="preserve">&lt;&lt; </w:t>
      </w:r>
      <w:r>
        <w:rPr>
          <w:rFonts w:ascii="Times New Roman" w:hAnsi="Times New Roman" w:cs="Times New Roman"/>
          <w:b/>
          <w:bCs/>
          <w:noProof/>
          <w:lang w:val="it-IT" w:eastAsia="it-IT"/>
        </w:rPr>
        <w:t>I</w:t>
      </w:r>
      <w:r w:rsidRPr="00755214">
        <w:rPr>
          <w:rFonts w:ascii="Times New Roman" w:hAnsi="Times New Roman" w:cs="Times New Roman"/>
          <w:b/>
          <w:bCs/>
          <w:noProof/>
          <w:lang w:val="it-IT" w:eastAsia="it-IT"/>
        </w:rPr>
        <w:t>nsert Fig. 11&gt;&gt;</w:t>
      </w:r>
    </w:p>
    <w:bookmarkEnd w:id="7"/>
    <w:p w14:paraId="1904C2E0" w14:textId="3ED9C2ED" w:rsidR="00A2620A" w:rsidRDefault="00A2620A" w:rsidP="001030ED">
      <w:pPr>
        <w:rPr>
          <w:rFonts w:ascii="Times New Roman" w:hAnsi="Times New Roman" w:cs="Times New Roman"/>
        </w:rPr>
      </w:pPr>
    </w:p>
    <w:p w14:paraId="3DD8E230" w14:textId="77777777" w:rsidR="00CB6C52" w:rsidRPr="00BB66A8" w:rsidRDefault="00CB6C52" w:rsidP="001030ED">
      <w:pPr>
        <w:rPr>
          <w:rFonts w:ascii="Times New Roman" w:hAnsi="Times New Roman" w:cs="Times New Roman"/>
        </w:rPr>
      </w:pPr>
    </w:p>
    <w:p w14:paraId="66B4C777" w14:textId="5B4F0E5A" w:rsidR="00A2620A" w:rsidRPr="0035049B" w:rsidRDefault="00A2620A" w:rsidP="00984C47">
      <w:pPr>
        <w:pStyle w:val="Titolo2"/>
        <w:numPr>
          <w:ilvl w:val="0"/>
          <w:numId w:val="9"/>
        </w:numPr>
        <w:rPr>
          <w:rFonts w:ascii="Times New Roman" w:hAnsi="Times New Roman" w:cs="Times New Roman"/>
        </w:rPr>
      </w:pPr>
      <w:r w:rsidRPr="0035049B">
        <w:rPr>
          <w:rFonts w:ascii="Times New Roman" w:hAnsi="Times New Roman" w:cs="Times New Roman"/>
        </w:rPr>
        <w:t>C</w:t>
      </w:r>
      <w:r w:rsidR="00B7562F" w:rsidRPr="0035049B">
        <w:rPr>
          <w:rFonts w:ascii="Times New Roman" w:hAnsi="Times New Roman" w:cs="Times New Roman"/>
        </w:rPr>
        <w:t>onclusions</w:t>
      </w:r>
    </w:p>
    <w:p w14:paraId="02E66BDE" w14:textId="77777777" w:rsidR="00A53E08" w:rsidRPr="00A53E08" w:rsidRDefault="00A53E08" w:rsidP="00A53E08"/>
    <w:p w14:paraId="308308EC" w14:textId="15EA8E6D" w:rsidR="004379E1" w:rsidRPr="006C17BA" w:rsidRDefault="00AA23E8" w:rsidP="004379E1">
      <w:pPr>
        <w:rPr>
          <w:rFonts w:ascii="Times New Roman" w:hAnsi="Times New Roman" w:cs="Times New Roman"/>
          <w:color w:val="auto"/>
        </w:rPr>
      </w:pPr>
      <w:r w:rsidRPr="00AA23E8">
        <w:rPr>
          <w:rFonts w:ascii="Times New Roman" w:hAnsi="Times New Roman" w:cs="Times New Roman"/>
          <w:color w:val="auto"/>
        </w:rPr>
        <w:t xml:space="preserve">In this study, we investigated innovative BD-loaded MTs </w:t>
      </w:r>
      <w:r w:rsidR="004379E1" w:rsidRPr="004379E1">
        <w:rPr>
          <w:rFonts w:ascii="Times New Roman" w:hAnsi="Times New Roman" w:cs="Times New Roman"/>
          <w:color w:val="auto"/>
        </w:rPr>
        <w:t xml:space="preserve">produced by </w:t>
      </w:r>
      <w:r w:rsidR="006C17BA" w:rsidRPr="006C17BA">
        <w:rPr>
          <w:rFonts w:ascii="Times New Roman" w:hAnsi="Times New Roman" w:cs="Times New Roman"/>
          <w:color w:val="auto"/>
        </w:rPr>
        <w:t xml:space="preserve">DPE </w:t>
      </w:r>
      <w:r w:rsidR="00856CD2" w:rsidRPr="004379E1">
        <w:rPr>
          <w:rFonts w:ascii="Times New Roman" w:hAnsi="Times New Roman" w:cs="Times New Roman"/>
          <w:color w:val="auto"/>
        </w:rPr>
        <w:t>3D printing and fluid bed coating technique</w:t>
      </w:r>
      <w:r>
        <w:rPr>
          <w:rFonts w:ascii="Times New Roman" w:hAnsi="Times New Roman" w:cs="Times New Roman"/>
          <w:color w:val="auto"/>
        </w:rPr>
        <w:t>s</w:t>
      </w:r>
      <w:r w:rsidR="00856CD2" w:rsidRPr="004379E1">
        <w:rPr>
          <w:rFonts w:ascii="Times New Roman" w:hAnsi="Times New Roman" w:cs="Times New Roman"/>
          <w:color w:val="auto"/>
        </w:rPr>
        <w:t xml:space="preserve">. </w:t>
      </w:r>
      <w:r w:rsidRPr="00AA23E8">
        <w:rPr>
          <w:rFonts w:ascii="Times New Roman" w:hAnsi="Times New Roman" w:cs="Times New Roman"/>
          <w:color w:val="auto"/>
        </w:rPr>
        <w:t>This strategy paves the way for flexible dosing formulations that, together with the shape and size of the final tablet, enable personalized</w:t>
      </w:r>
      <w:r>
        <w:rPr>
          <w:rFonts w:ascii="Times New Roman" w:hAnsi="Times New Roman" w:cs="Times New Roman"/>
          <w:color w:val="auto"/>
        </w:rPr>
        <w:t xml:space="preserve"> therapy</w:t>
      </w:r>
      <w:r w:rsidR="00BE71CD" w:rsidRPr="00BC4D9E">
        <w:rPr>
          <w:rFonts w:ascii="Times New Roman" w:hAnsi="Times New Roman" w:cs="Times New Roman"/>
          <w:color w:val="auto"/>
        </w:rPr>
        <w:t xml:space="preserve">. </w:t>
      </w:r>
      <w:r w:rsidR="00BC4D9E" w:rsidRPr="00BC4D9E">
        <w:rPr>
          <w:rFonts w:ascii="Times New Roman" w:hAnsi="Times New Roman" w:cs="Times New Roman"/>
          <w:color w:val="auto"/>
        </w:rPr>
        <w:t>This represents a need in the case of rare diseases and special categories of patients, such as children</w:t>
      </w:r>
      <w:r w:rsidR="00BE71CD" w:rsidRPr="00BC4D9E">
        <w:rPr>
          <w:rFonts w:ascii="Times New Roman" w:hAnsi="Times New Roman" w:cs="Times New Roman"/>
          <w:color w:val="auto"/>
        </w:rPr>
        <w:t xml:space="preserve">. </w:t>
      </w:r>
      <w:r w:rsidR="008F496B" w:rsidRPr="008F496B">
        <w:rPr>
          <w:rFonts w:ascii="Times New Roman" w:hAnsi="Times New Roman" w:cs="Times New Roman"/>
          <w:color w:val="auto"/>
        </w:rPr>
        <w:t>Specifically, HPMC-based MTs were successfully developed and designed through the DPE</w:t>
      </w:r>
      <w:r>
        <w:rPr>
          <w:rFonts w:ascii="Times New Roman" w:hAnsi="Times New Roman" w:cs="Times New Roman"/>
          <w:color w:val="auto"/>
        </w:rPr>
        <w:t xml:space="preserve"> 3D</w:t>
      </w:r>
      <w:r w:rsidR="008F496B" w:rsidRPr="008F496B">
        <w:rPr>
          <w:rFonts w:ascii="Times New Roman" w:hAnsi="Times New Roman" w:cs="Times New Roman"/>
          <w:color w:val="auto"/>
        </w:rPr>
        <w:t xml:space="preserve"> technique</w:t>
      </w:r>
      <w:r w:rsidR="00BE71CD" w:rsidRPr="00BC4D9E">
        <w:rPr>
          <w:rFonts w:ascii="Times New Roman" w:hAnsi="Times New Roman" w:cs="Times New Roman"/>
          <w:color w:val="auto"/>
        </w:rPr>
        <w:t xml:space="preserve">. </w:t>
      </w:r>
      <w:r w:rsidRPr="00AA23E8">
        <w:rPr>
          <w:rFonts w:ascii="Times New Roman" w:hAnsi="Times New Roman" w:cs="Times New Roman"/>
          <w:color w:val="auto"/>
        </w:rPr>
        <w:t>The MTs showed good mechanical and physical properties, and to increase the dissolution rate and solubility of BD, multiple approaches involving the use of HP-β-CD and AB mixture, which can form inclusion complexes with BD and increase the disintegration of the MTs, was studied, respectively.</w:t>
      </w:r>
      <w:r w:rsidR="007217A3" w:rsidRPr="000B278B">
        <w:rPr>
          <w:rFonts w:ascii="Times New Roman" w:hAnsi="Times New Roman" w:cs="Times New Roman"/>
          <w:color w:val="auto"/>
        </w:rPr>
        <w:t xml:space="preserve"> </w:t>
      </w:r>
      <w:r w:rsidR="00B22E73" w:rsidRPr="00B22E73">
        <w:rPr>
          <w:rFonts w:ascii="Times New Roman" w:hAnsi="Times New Roman" w:cs="Times New Roman"/>
          <w:color w:val="auto"/>
        </w:rPr>
        <w:t>All of the tested MTs improved the</w:t>
      </w:r>
      <w:r w:rsidR="00B22E73">
        <w:rPr>
          <w:rFonts w:ascii="Times New Roman" w:hAnsi="Times New Roman" w:cs="Times New Roman"/>
          <w:color w:val="auto"/>
        </w:rPr>
        <w:t xml:space="preserve"> pure drug's dissolving profile. Among them</w:t>
      </w:r>
      <w:r w:rsidR="00B22E73" w:rsidRPr="00B22E73">
        <w:rPr>
          <w:rFonts w:ascii="Times New Roman" w:hAnsi="Times New Roman" w:cs="Times New Roman"/>
          <w:color w:val="auto"/>
        </w:rPr>
        <w:t xml:space="preserve"> MT2 stood out as the best one since it could be made in a single step that simultaneously produced the inclusion complex between</w:t>
      </w:r>
      <w:r w:rsidR="00B22E73">
        <w:rPr>
          <w:rFonts w:ascii="Times New Roman" w:hAnsi="Times New Roman" w:cs="Times New Roman"/>
          <w:color w:val="auto"/>
        </w:rPr>
        <w:t xml:space="preserve"> </w:t>
      </w:r>
      <w:r w:rsidR="00B22E73" w:rsidRPr="00B22E73">
        <w:rPr>
          <w:rFonts w:ascii="Times New Roman" w:hAnsi="Times New Roman" w:cs="Times New Roman"/>
          <w:color w:val="auto"/>
        </w:rPr>
        <w:t xml:space="preserve">BD/HP-β-CD </w:t>
      </w:r>
      <w:r w:rsidR="00B22E73">
        <w:rPr>
          <w:rFonts w:ascii="Times New Roman" w:hAnsi="Times New Roman" w:cs="Times New Roman"/>
          <w:color w:val="auto"/>
        </w:rPr>
        <w:t>and tablet printing</w:t>
      </w:r>
      <w:r w:rsidR="00FE6217" w:rsidRPr="00815EC8">
        <w:rPr>
          <w:rFonts w:ascii="Times New Roman" w:hAnsi="Times New Roman" w:cs="Times New Roman"/>
          <w:color w:val="auto"/>
        </w:rPr>
        <w:t>.</w:t>
      </w:r>
      <w:r w:rsidR="007217A3" w:rsidRPr="000B278B">
        <w:rPr>
          <w:color w:val="auto"/>
        </w:rPr>
        <w:t xml:space="preserve"> </w:t>
      </w:r>
      <w:r w:rsidR="004819DB" w:rsidRPr="004819DB">
        <w:rPr>
          <w:rFonts w:ascii="Times New Roman" w:hAnsi="Times New Roman" w:cs="Times New Roman"/>
          <w:color w:val="auto"/>
        </w:rPr>
        <w:t>Then</w:t>
      </w:r>
      <w:r w:rsidR="00091FE3">
        <w:rPr>
          <w:rFonts w:ascii="Times New Roman" w:hAnsi="Times New Roman" w:cs="Times New Roman"/>
          <w:color w:val="auto"/>
        </w:rPr>
        <w:t>,</w:t>
      </w:r>
      <w:r w:rsidR="004819DB" w:rsidRPr="004819DB">
        <w:rPr>
          <w:rFonts w:ascii="Times New Roman" w:hAnsi="Times New Roman" w:cs="Times New Roman"/>
          <w:color w:val="auto"/>
        </w:rPr>
        <w:t xml:space="preserve"> MT2 was coated with an enteric polymer at different </w:t>
      </w:r>
      <w:r w:rsidR="006C17BA">
        <w:rPr>
          <w:rFonts w:ascii="Times New Roman" w:hAnsi="Times New Roman" w:cs="Times New Roman"/>
          <w:color w:val="auto"/>
        </w:rPr>
        <w:t>thicknesses</w:t>
      </w:r>
      <w:r w:rsidR="004819DB" w:rsidRPr="004819DB">
        <w:rPr>
          <w:rFonts w:ascii="Times New Roman" w:hAnsi="Times New Roman" w:cs="Times New Roman"/>
          <w:color w:val="auto"/>
        </w:rPr>
        <w:t xml:space="preserve">, </w:t>
      </w:r>
      <w:r w:rsidR="00526AE2">
        <w:rPr>
          <w:rFonts w:ascii="Times New Roman" w:hAnsi="Times New Roman" w:cs="Times New Roman"/>
          <w:color w:val="auto"/>
        </w:rPr>
        <w:t>with</w:t>
      </w:r>
      <w:r w:rsidR="004819DB" w:rsidRPr="004819DB">
        <w:rPr>
          <w:rFonts w:ascii="Times New Roman" w:hAnsi="Times New Roman" w:cs="Times New Roman"/>
          <w:color w:val="auto"/>
        </w:rPr>
        <w:t xml:space="preserve"> the 6% </w:t>
      </w:r>
      <w:r w:rsidR="00526AE2" w:rsidRPr="00526AE2">
        <w:rPr>
          <w:rFonts w:ascii="Times New Roman" w:hAnsi="Times New Roman" w:cs="Times New Roman"/>
          <w:color w:val="auto"/>
        </w:rPr>
        <w:t>coating proving to be the most effective.</w:t>
      </w:r>
      <w:r w:rsidR="00526AE2">
        <w:rPr>
          <w:rFonts w:ascii="Times New Roman" w:hAnsi="Times New Roman" w:cs="Times New Roman"/>
          <w:color w:val="auto"/>
        </w:rPr>
        <w:t xml:space="preserve"> </w:t>
      </w:r>
      <w:r w:rsidR="00526AE2" w:rsidRPr="00526AE2">
        <w:rPr>
          <w:rFonts w:ascii="Times New Roman" w:hAnsi="Times New Roman" w:cs="Times New Roman"/>
          <w:color w:val="auto"/>
        </w:rPr>
        <w:t xml:space="preserve">In fact, after being exposed to an acidic medium and subsequently </w:t>
      </w:r>
      <w:r w:rsidR="00526AE2">
        <w:rPr>
          <w:rFonts w:ascii="Times New Roman" w:hAnsi="Times New Roman" w:cs="Times New Roman"/>
          <w:color w:val="auto"/>
        </w:rPr>
        <w:t xml:space="preserve">to </w:t>
      </w:r>
      <w:r w:rsidR="00526AE2" w:rsidRPr="00526AE2">
        <w:rPr>
          <w:rFonts w:ascii="Times New Roman" w:hAnsi="Times New Roman" w:cs="Times New Roman"/>
          <w:color w:val="auto"/>
        </w:rPr>
        <w:t>a buffered solution with a pH of 6.8, the 6% C-MT2 released just 2% of BD, essentially preserving the coating.</w:t>
      </w:r>
      <w:r w:rsidR="00526AE2">
        <w:rPr>
          <w:rFonts w:ascii="Times New Roman" w:hAnsi="Times New Roman" w:cs="Times New Roman"/>
          <w:color w:val="auto"/>
        </w:rPr>
        <w:t xml:space="preserve"> </w:t>
      </w:r>
      <w:r w:rsidR="00526AE2" w:rsidRPr="00526AE2">
        <w:rPr>
          <w:rFonts w:ascii="Times New Roman" w:hAnsi="Times New Roman" w:cs="Times New Roman"/>
          <w:color w:val="auto"/>
        </w:rPr>
        <w:t>As a result, such a formulation might be described as a possible response to EC treatment in paediatric patients.</w:t>
      </w:r>
    </w:p>
    <w:p w14:paraId="27755392" w14:textId="2DFA1995" w:rsidR="00E709E6" w:rsidRPr="006C17BA" w:rsidRDefault="00E709E6" w:rsidP="001030ED">
      <w:pPr>
        <w:rPr>
          <w:rFonts w:ascii="Times New Roman" w:hAnsi="Times New Roman" w:cs="Times New Roman"/>
        </w:rPr>
      </w:pPr>
    </w:p>
    <w:p w14:paraId="514A2C2F" w14:textId="71DCE699" w:rsidR="00E709E6" w:rsidRPr="006C17BA" w:rsidRDefault="00E709E6" w:rsidP="001030ED">
      <w:pPr>
        <w:rPr>
          <w:rFonts w:ascii="Times New Roman" w:hAnsi="Times New Roman" w:cs="Times New Roman"/>
        </w:rPr>
      </w:pPr>
    </w:p>
    <w:p w14:paraId="4287702C" w14:textId="6EFE1F18" w:rsidR="00E709E6" w:rsidRPr="006C17BA" w:rsidRDefault="00E709E6" w:rsidP="001030ED">
      <w:pPr>
        <w:rPr>
          <w:rFonts w:ascii="Times New Roman" w:hAnsi="Times New Roman" w:cs="Times New Roman"/>
        </w:rPr>
      </w:pPr>
    </w:p>
    <w:p w14:paraId="44EF3273" w14:textId="4E325299" w:rsidR="00ED2E45" w:rsidRDefault="00ED2E45" w:rsidP="001030ED">
      <w:pPr>
        <w:rPr>
          <w:rFonts w:ascii="Times New Roman" w:hAnsi="Times New Roman" w:cs="Times New Roman"/>
        </w:rPr>
      </w:pPr>
    </w:p>
    <w:p w14:paraId="7B97A786" w14:textId="77777777" w:rsidR="006C17BA" w:rsidRPr="006C17BA" w:rsidRDefault="006C17BA" w:rsidP="001030ED">
      <w:pPr>
        <w:rPr>
          <w:rFonts w:ascii="Times New Roman" w:hAnsi="Times New Roman" w:cs="Times New Roman"/>
        </w:rPr>
      </w:pPr>
    </w:p>
    <w:p w14:paraId="5F3A8AD4" w14:textId="77777777" w:rsidR="00ED2E45" w:rsidRPr="006C17BA" w:rsidRDefault="00ED2E45" w:rsidP="001030ED">
      <w:pPr>
        <w:rPr>
          <w:rFonts w:ascii="Times New Roman" w:hAnsi="Times New Roman" w:cs="Times New Roman"/>
        </w:rPr>
      </w:pPr>
    </w:p>
    <w:p w14:paraId="265C5132" w14:textId="77777777" w:rsidR="006C1E32" w:rsidRPr="00BB66A8" w:rsidRDefault="006C1E32" w:rsidP="006C1E32">
      <w:pPr>
        <w:spacing w:line="360" w:lineRule="auto"/>
        <w:rPr>
          <w:rFonts w:ascii="Times New Roman" w:eastAsia="Calibri" w:hAnsi="Times New Roman" w:cs="Times New Roman"/>
          <w:sz w:val="28"/>
          <w:szCs w:val="28"/>
          <w:lang w:eastAsia="zh-CN"/>
        </w:rPr>
      </w:pPr>
      <w:bookmarkStart w:id="8" w:name="_Hlk70072572"/>
      <w:r w:rsidRPr="00BB66A8">
        <w:rPr>
          <w:rFonts w:ascii="Times New Roman" w:hAnsi="Times New Roman" w:cs="Times New Roman"/>
          <w:b/>
          <w:color w:val="000000"/>
          <w:sz w:val="28"/>
          <w:szCs w:val="28"/>
          <w:lang w:eastAsia="zh-CN"/>
        </w:rPr>
        <w:lastRenderedPageBreak/>
        <w:t>Acknowledgements</w:t>
      </w:r>
    </w:p>
    <w:bookmarkEnd w:id="8"/>
    <w:p w14:paraId="06DB91C8" w14:textId="244A72C0" w:rsidR="000F31D2" w:rsidRPr="00A63AC2" w:rsidRDefault="00D35BB2" w:rsidP="000F31D2">
      <w:pPr>
        <w:rPr>
          <w:rFonts w:ascii="Times New Roman" w:hAnsi="Times New Roman" w:cs="Times New Roman"/>
          <w:lang w:val="it-IT" w:eastAsia="zh-CN"/>
        </w:rPr>
      </w:pPr>
      <w:r w:rsidRPr="00D35BB2">
        <w:rPr>
          <w:rFonts w:ascii="Times New Roman" w:eastAsia="Calibri" w:hAnsi="Times New Roman" w:cs="Times New Roman"/>
          <w:lang w:eastAsia="zh-CN"/>
        </w:rPr>
        <w:t xml:space="preserve">The authors would like to thank </w:t>
      </w:r>
      <w:r w:rsidR="00E73D5E">
        <w:rPr>
          <w:rFonts w:ascii="Times New Roman" w:eastAsia="Calibri" w:hAnsi="Times New Roman" w:cs="Times New Roman"/>
          <w:lang w:eastAsia="zh-CN"/>
        </w:rPr>
        <w:t xml:space="preserve">Dr. </w:t>
      </w:r>
      <w:r w:rsidRPr="00D35BB2">
        <w:rPr>
          <w:rFonts w:ascii="Times New Roman" w:eastAsia="Calibri" w:hAnsi="Times New Roman" w:cs="Times New Roman"/>
          <w:lang w:eastAsia="zh-CN"/>
        </w:rPr>
        <w:t xml:space="preserve">Luca Donati, </w:t>
      </w:r>
      <w:r w:rsidR="00E73D5E">
        <w:rPr>
          <w:rFonts w:ascii="Times New Roman" w:eastAsia="Calibri" w:hAnsi="Times New Roman" w:cs="Times New Roman"/>
          <w:lang w:eastAsia="zh-CN"/>
        </w:rPr>
        <w:t xml:space="preserve">Dr. Danilo D'Amico and Dr. </w:t>
      </w:r>
      <w:r w:rsidRPr="00D35BB2">
        <w:rPr>
          <w:rFonts w:ascii="Times New Roman" w:eastAsia="Calibri" w:hAnsi="Times New Roman" w:cs="Times New Roman"/>
          <w:lang w:eastAsia="zh-CN"/>
        </w:rPr>
        <w:t xml:space="preserve">Alessandro Conte </w:t>
      </w:r>
      <w:r w:rsidR="00E73D5E">
        <w:rPr>
          <w:rFonts w:ascii="Times New Roman" w:eastAsia="Calibri" w:hAnsi="Times New Roman" w:cs="Times New Roman"/>
          <w:lang w:eastAsia="zh-CN"/>
        </w:rPr>
        <w:t>from the</w:t>
      </w:r>
      <w:r w:rsidRPr="00D35BB2">
        <w:rPr>
          <w:rFonts w:ascii="Times New Roman" w:eastAsia="Calibri" w:hAnsi="Times New Roman" w:cs="Times New Roman"/>
          <w:lang w:eastAsia="zh-CN"/>
        </w:rPr>
        <w:t xml:space="preserve"> Pharma Formulation Development of Angelini Pharma S.p.A. for their assistance in film coating</w:t>
      </w:r>
      <w:r>
        <w:rPr>
          <w:rFonts w:ascii="Times New Roman" w:eastAsia="Calibri" w:hAnsi="Times New Roman" w:cs="Times New Roman"/>
          <w:lang w:eastAsia="zh-CN"/>
        </w:rPr>
        <w:t xml:space="preserve">. </w:t>
      </w:r>
      <w:r w:rsidR="00B33E20" w:rsidRPr="00BB66A8">
        <w:rPr>
          <w:rFonts w:ascii="Times New Roman" w:eastAsia="Calibri" w:hAnsi="Times New Roman" w:cs="Times New Roman"/>
          <w:lang w:eastAsia="zh-CN"/>
        </w:rPr>
        <w:t>Authors acknowledge Farmalabor s.r.l., Centro Studi e Ricerche “Dr. S. Fontana 1900-1982”</w:t>
      </w:r>
      <w:r>
        <w:rPr>
          <w:rFonts w:ascii="Times New Roman" w:eastAsia="Calibri" w:hAnsi="Times New Roman" w:cs="Times New Roman"/>
          <w:lang w:eastAsia="zh-CN"/>
        </w:rPr>
        <w:t xml:space="preserve"> </w:t>
      </w:r>
      <w:r w:rsidR="00B33E20" w:rsidRPr="00BB66A8">
        <w:rPr>
          <w:rFonts w:ascii="Times New Roman" w:eastAsia="Calibri" w:hAnsi="Times New Roman" w:cs="Times New Roman"/>
          <w:lang w:eastAsia="zh-CN"/>
        </w:rPr>
        <w:t>for their technical support</w:t>
      </w:r>
      <w:r>
        <w:rPr>
          <w:rFonts w:ascii="Times New Roman" w:eastAsia="Calibri" w:hAnsi="Times New Roman" w:cs="Times New Roman"/>
          <w:lang w:eastAsia="zh-CN"/>
        </w:rPr>
        <w:t xml:space="preserve">. </w:t>
      </w:r>
      <w:r w:rsidR="001A5548" w:rsidRPr="00BB66A8">
        <w:rPr>
          <w:rFonts w:ascii="Times New Roman" w:hAnsi="Times New Roman" w:cs="Times New Roman"/>
        </w:rPr>
        <w:t xml:space="preserve">The authors would like to thank Dr. </w:t>
      </w:r>
      <w:r w:rsidR="001A5548" w:rsidRPr="00BB66A8">
        <w:rPr>
          <w:rFonts w:ascii="Times New Roman" w:hAnsi="Times New Roman" w:cs="Times New Roman"/>
          <w:lang w:eastAsia="zh-CN"/>
        </w:rPr>
        <w:t xml:space="preserve">Francesco Baldassarre </w:t>
      </w:r>
      <w:r w:rsidR="001A5548" w:rsidRPr="00BB66A8">
        <w:rPr>
          <w:rFonts w:ascii="Times New Roman" w:hAnsi="Times New Roman" w:cs="Times New Roman"/>
        </w:rPr>
        <w:t>and Dr. Pasquale Trotti for their</w:t>
      </w:r>
      <w:r w:rsidR="002B05F4" w:rsidRPr="00BB66A8">
        <w:rPr>
          <w:rFonts w:ascii="Times New Roman" w:hAnsi="Times New Roman" w:cs="Times New Roman"/>
        </w:rPr>
        <w:t xml:space="preserve"> contribution </w:t>
      </w:r>
      <w:r w:rsidR="001A5548" w:rsidRPr="00BB66A8">
        <w:rPr>
          <w:rFonts w:ascii="Times New Roman" w:hAnsi="Times New Roman" w:cs="Times New Roman"/>
        </w:rPr>
        <w:t xml:space="preserve">in the PXRD analysis and the SEM analysis, respectively. </w:t>
      </w:r>
      <w:bookmarkStart w:id="9" w:name="_Hlk119059455"/>
      <w:r w:rsidR="002B05F4" w:rsidRPr="00A63AC2">
        <w:rPr>
          <w:rFonts w:ascii="Times New Roman" w:hAnsi="Times New Roman" w:cs="Times New Roman"/>
          <w:lang w:val="it-IT" w:eastAsia="zh-CN"/>
        </w:rPr>
        <w:t>M.I.U.R- Programma Operativo Nazionale 2014-2020; Azione: l.1- Dottorati di ricerca innovativi 2020</w:t>
      </w:r>
      <w:bookmarkEnd w:id="9"/>
      <w:r w:rsidR="00A63AC2">
        <w:rPr>
          <w:rFonts w:ascii="Times New Roman" w:hAnsi="Times New Roman" w:cs="Times New Roman"/>
          <w:lang w:val="it-IT" w:eastAsia="zh-CN"/>
        </w:rPr>
        <w:t xml:space="preserve">, </w:t>
      </w:r>
      <w:r w:rsidR="00A63AC2" w:rsidRPr="005F276F">
        <w:rPr>
          <w:rFonts w:ascii="Times New Roman" w:hAnsi="Times New Roman" w:cs="Times New Roman"/>
          <w:lang w:val="it-IT" w:eastAsia="zh-CN"/>
        </w:rPr>
        <w:t>M.I.U.R- Programma Operativo Nazionale 2014-2020</w:t>
      </w:r>
      <w:r w:rsidR="00A63AC2">
        <w:rPr>
          <w:rFonts w:ascii="Times New Roman" w:hAnsi="Times New Roman" w:cs="Times New Roman"/>
          <w:lang w:val="it-IT" w:eastAsia="zh-CN"/>
        </w:rPr>
        <w:t xml:space="preserve"> Green e Innovazione, </w:t>
      </w:r>
      <w:r w:rsidR="002B05F4" w:rsidRPr="00A63AC2">
        <w:rPr>
          <w:rFonts w:ascii="Times New Roman" w:hAnsi="Times New Roman" w:cs="Times New Roman"/>
          <w:lang w:val="it-IT" w:eastAsia="zh-CN"/>
        </w:rPr>
        <w:t>and the University of Bari (Italy) are also gratefully acknowledged for the financial support.</w:t>
      </w:r>
    </w:p>
    <w:p w14:paraId="32EBC16C" w14:textId="725BA2E4" w:rsidR="005F276F" w:rsidRPr="00A63AC2" w:rsidRDefault="005F276F" w:rsidP="000F31D2">
      <w:pPr>
        <w:rPr>
          <w:rFonts w:ascii="Times New Roman" w:hAnsi="Times New Roman" w:cs="Times New Roman"/>
          <w:lang w:val="it-IT" w:eastAsia="zh-CN"/>
        </w:rPr>
      </w:pPr>
    </w:p>
    <w:p w14:paraId="4084EF74" w14:textId="77777777" w:rsidR="005F276F" w:rsidRPr="00A63AC2" w:rsidRDefault="005F276F" w:rsidP="000F31D2">
      <w:pPr>
        <w:rPr>
          <w:rFonts w:ascii="Times New Roman" w:hAnsi="Times New Roman" w:cs="Times New Roman"/>
          <w:lang w:val="it-IT" w:eastAsia="zh-CN"/>
        </w:rPr>
      </w:pPr>
    </w:p>
    <w:p w14:paraId="36073B21" w14:textId="77777777" w:rsidR="005F276F" w:rsidRDefault="005F276F" w:rsidP="000F31D2">
      <w:pPr>
        <w:rPr>
          <w:rFonts w:ascii="Times New Roman" w:hAnsi="Times New Roman" w:cs="Times New Roman"/>
          <w:lang w:val="it-IT" w:eastAsia="zh-CN"/>
        </w:rPr>
      </w:pPr>
      <w:r w:rsidRPr="005F276F">
        <w:rPr>
          <w:rFonts w:ascii="Times New Roman" w:hAnsi="Times New Roman" w:cs="Times New Roman"/>
          <w:b/>
          <w:bCs/>
          <w:sz w:val="28"/>
          <w:szCs w:val="28"/>
          <w:lang w:val="it-IT" w:eastAsia="zh-CN"/>
        </w:rPr>
        <w:t>Funding</w:t>
      </w:r>
    </w:p>
    <w:p w14:paraId="70636DF8" w14:textId="5498546D" w:rsidR="00755214" w:rsidRPr="005F276F" w:rsidRDefault="00A63AC2" w:rsidP="000F31D2">
      <w:pPr>
        <w:rPr>
          <w:rFonts w:ascii="Times New Roman" w:hAnsi="Times New Roman" w:cs="Times New Roman"/>
          <w:lang w:val="it-IT" w:eastAsia="zh-CN"/>
        </w:rPr>
      </w:pPr>
      <w:r w:rsidRPr="00A63AC2">
        <w:rPr>
          <w:rFonts w:ascii="Times New Roman" w:hAnsi="Times New Roman" w:cs="Times New Roman"/>
          <w:lang w:val="it-IT" w:eastAsia="zh-CN"/>
        </w:rPr>
        <w:t>M.I.U.R- Programma Operativo Nazionale 2014-2020; Azione: l.1- Dottorati di ricerca innovativi 2020</w:t>
      </w:r>
      <w:r>
        <w:rPr>
          <w:rFonts w:ascii="Times New Roman" w:hAnsi="Times New Roman" w:cs="Times New Roman"/>
          <w:lang w:val="it-IT" w:eastAsia="zh-CN"/>
        </w:rPr>
        <w:t>.</w:t>
      </w:r>
    </w:p>
    <w:p w14:paraId="1C9691B3" w14:textId="35BC9876" w:rsidR="00755214" w:rsidRPr="005F276F" w:rsidRDefault="00755214" w:rsidP="000F31D2">
      <w:pPr>
        <w:rPr>
          <w:rFonts w:ascii="Times New Roman" w:hAnsi="Times New Roman" w:cs="Times New Roman"/>
          <w:lang w:val="it-IT" w:eastAsia="zh-CN"/>
        </w:rPr>
      </w:pPr>
    </w:p>
    <w:p w14:paraId="1F31B2EC" w14:textId="4200A993" w:rsidR="00755214" w:rsidRPr="005F276F" w:rsidRDefault="00755214" w:rsidP="000F31D2">
      <w:pPr>
        <w:rPr>
          <w:rFonts w:ascii="Times New Roman" w:hAnsi="Times New Roman" w:cs="Times New Roman"/>
          <w:lang w:val="it-IT" w:eastAsia="zh-CN"/>
        </w:rPr>
      </w:pPr>
    </w:p>
    <w:p w14:paraId="2E7631CA" w14:textId="4A60ED94" w:rsidR="00755214" w:rsidRPr="005F276F" w:rsidRDefault="00755214" w:rsidP="000F31D2">
      <w:pPr>
        <w:rPr>
          <w:rFonts w:ascii="Times New Roman" w:hAnsi="Times New Roman" w:cs="Times New Roman"/>
          <w:lang w:val="it-IT" w:eastAsia="zh-CN"/>
        </w:rPr>
      </w:pPr>
    </w:p>
    <w:p w14:paraId="03872B19" w14:textId="689CF1C5" w:rsidR="00755214" w:rsidRPr="005F276F" w:rsidRDefault="00755214" w:rsidP="000F31D2">
      <w:pPr>
        <w:rPr>
          <w:rFonts w:ascii="Times New Roman" w:hAnsi="Times New Roman" w:cs="Times New Roman"/>
          <w:lang w:val="it-IT" w:eastAsia="zh-CN"/>
        </w:rPr>
      </w:pPr>
    </w:p>
    <w:p w14:paraId="67F3F94A" w14:textId="5F9FFC81" w:rsidR="00755214" w:rsidRPr="005F276F" w:rsidRDefault="00755214" w:rsidP="000F31D2">
      <w:pPr>
        <w:rPr>
          <w:rFonts w:ascii="Times New Roman" w:hAnsi="Times New Roman" w:cs="Times New Roman"/>
          <w:lang w:val="it-IT" w:eastAsia="zh-CN"/>
        </w:rPr>
      </w:pPr>
    </w:p>
    <w:p w14:paraId="17A6DB13" w14:textId="66B2B8F7" w:rsidR="00755214" w:rsidRPr="005F276F" w:rsidRDefault="00755214" w:rsidP="000F31D2">
      <w:pPr>
        <w:rPr>
          <w:rFonts w:ascii="Times New Roman" w:hAnsi="Times New Roman" w:cs="Times New Roman"/>
          <w:lang w:val="it-IT" w:eastAsia="zh-CN"/>
        </w:rPr>
      </w:pPr>
    </w:p>
    <w:p w14:paraId="716ED8C8" w14:textId="69024F1E" w:rsidR="00755214" w:rsidRPr="005F276F" w:rsidRDefault="00755214" w:rsidP="000F31D2">
      <w:pPr>
        <w:rPr>
          <w:rFonts w:ascii="Times New Roman" w:hAnsi="Times New Roman" w:cs="Times New Roman"/>
          <w:lang w:val="it-IT" w:eastAsia="zh-CN"/>
        </w:rPr>
      </w:pPr>
    </w:p>
    <w:p w14:paraId="18A216C1" w14:textId="1E5AC29C" w:rsidR="00755214" w:rsidRPr="005F276F" w:rsidRDefault="00755214" w:rsidP="000F31D2">
      <w:pPr>
        <w:rPr>
          <w:rFonts w:ascii="Times New Roman" w:hAnsi="Times New Roman" w:cs="Times New Roman"/>
          <w:lang w:val="it-IT" w:eastAsia="zh-CN"/>
        </w:rPr>
      </w:pPr>
    </w:p>
    <w:p w14:paraId="1AE89292" w14:textId="3F8E1312" w:rsidR="00755214" w:rsidRPr="005F276F" w:rsidRDefault="00755214" w:rsidP="000F31D2">
      <w:pPr>
        <w:rPr>
          <w:rFonts w:ascii="Times New Roman" w:hAnsi="Times New Roman" w:cs="Times New Roman"/>
          <w:lang w:val="it-IT" w:eastAsia="zh-CN"/>
        </w:rPr>
      </w:pPr>
    </w:p>
    <w:p w14:paraId="487E6AFD" w14:textId="2A3B02B8" w:rsidR="00755214" w:rsidRPr="005F276F" w:rsidRDefault="00755214" w:rsidP="000F31D2">
      <w:pPr>
        <w:rPr>
          <w:rFonts w:ascii="Times New Roman" w:hAnsi="Times New Roman" w:cs="Times New Roman"/>
          <w:lang w:val="it-IT" w:eastAsia="zh-CN"/>
        </w:rPr>
      </w:pPr>
    </w:p>
    <w:p w14:paraId="34E40783" w14:textId="74C18FEF" w:rsidR="00755214" w:rsidRPr="005F276F" w:rsidRDefault="00755214" w:rsidP="000F31D2">
      <w:pPr>
        <w:rPr>
          <w:rFonts w:ascii="Times New Roman" w:hAnsi="Times New Roman" w:cs="Times New Roman"/>
          <w:lang w:val="it-IT" w:eastAsia="zh-CN"/>
        </w:rPr>
      </w:pPr>
    </w:p>
    <w:p w14:paraId="40BBBF15" w14:textId="0F2B2B08" w:rsidR="00755214" w:rsidRPr="005F276F" w:rsidRDefault="00755214" w:rsidP="000F31D2">
      <w:pPr>
        <w:rPr>
          <w:rFonts w:ascii="Times New Roman" w:hAnsi="Times New Roman" w:cs="Times New Roman"/>
          <w:lang w:val="it-IT" w:eastAsia="zh-CN"/>
        </w:rPr>
      </w:pPr>
    </w:p>
    <w:p w14:paraId="061E95B8" w14:textId="23427957" w:rsidR="00755214" w:rsidRPr="005F276F" w:rsidRDefault="00755214" w:rsidP="000F31D2">
      <w:pPr>
        <w:rPr>
          <w:rFonts w:ascii="Times New Roman" w:hAnsi="Times New Roman" w:cs="Times New Roman"/>
          <w:lang w:val="it-IT" w:eastAsia="zh-CN"/>
        </w:rPr>
      </w:pPr>
    </w:p>
    <w:p w14:paraId="4835C8C9" w14:textId="4C500DB9" w:rsidR="00755214" w:rsidRPr="005F276F" w:rsidRDefault="00755214" w:rsidP="000F31D2">
      <w:pPr>
        <w:rPr>
          <w:rFonts w:ascii="Times New Roman" w:hAnsi="Times New Roman" w:cs="Times New Roman"/>
          <w:lang w:val="it-IT" w:eastAsia="zh-CN"/>
        </w:rPr>
      </w:pPr>
    </w:p>
    <w:p w14:paraId="362B4EF8" w14:textId="76F34FBD" w:rsidR="00755214" w:rsidRPr="005F276F" w:rsidRDefault="00755214" w:rsidP="000F31D2">
      <w:pPr>
        <w:rPr>
          <w:rFonts w:ascii="Times New Roman" w:hAnsi="Times New Roman" w:cs="Times New Roman"/>
          <w:lang w:val="it-IT" w:eastAsia="zh-CN"/>
        </w:rPr>
      </w:pPr>
    </w:p>
    <w:p w14:paraId="6F4707E2" w14:textId="16A1C489" w:rsidR="00755214" w:rsidRPr="005F276F" w:rsidRDefault="00755214" w:rsidP="000F31D2">
      <w:pPr>
        <w:rPr>
          <w:rFonts w:ascii="Times New Roman" w:hAnsi="Times New Roman" w:cs="Times New Roman"/>
          <w:lang w:val="it-IT" w:eastAsia="zh-CN"/>
        </w:rPr>
      </w:pPr>
    </w:p>
    <w:p w14:paraId="56FD7BC2" w14:textId="53BEF1B1" w:rsidR="00755214" w:rsidRPr="005F276F" w:rsidRDefault="00755214" w:rsidP="000F31D2">
      <w:pPr>
        <w:rPr>
          <w:rFonts w:ascii="Times New Roman" w:hAnsi="Times New Roman" w:cs="Times New Roman"/>
          <w:lang w:val="it-IT" w:eastAsia="zh-CN"/>
        </w:rPr>
      </w:pPr>
    </w:p>
    <w:p w14:paraId="5F4AF8C1" w14:textId="5FC88CBB" w:rsidR="00755214" w:rsidRPr="005F276F" w:rsidRDefault="00755214" w:rsidP="000F31D2">
      <w:pPr>
        <w:rPr>
          <w:rFonts w:ascii="Times New Roman" w:hAnsi="Times New Roman" w:cs="Times New Roman"/>
          <w:lang w:val="it-IT" w:eastAsia="zh-CN"/>
        </w:rPr>
      </w:pPr>
    </w:p>
    <w:p w14:paraId="7BA5D47F" w14:textId="77777777" w:rsidR="00ED2E45" w:rsidRPr="005F276F" w:rsidRDefault="00ED2E45" w:rsidP="000F31D2">
      <w:pPr>
        <w:rPr>
          <w:rFonts w:ascii="Times New Roman" w:hAnsi="Times New Roman" w:cs="Times New Roman"/>
          <w:lang w:val="it-IT"/>
        </w:rPr>
      </w:pPr>
    </w:p>
    <w:p w14:paraId="0A2D1D04" w14:textId="77777777" w:rsidR="00E73D5E" w:rsidRDefault="00E73D5E" w:rsidP="006534D8">
      <w:pPr>
        <w:pStyle w:val="Titolo2"/>
        <w:rPr>
          <w:rFonts w:ascii="Times New Roman" w:hAnsi="Times New Roman" w:cs="Times New Roman"/>
          <w:lang w:val="it-IT"/>
        </w:rPr>
      </w:pPr>
    </w:p>
    <w:p w14:paraId="38D54ECF" w14:textId="77777777" w:rsidR="00E73D5E" w:rsidRPr="00E73D5E" w:rsidRDefault="00E73D5E" w:rsidP="00E73D5E">
      <w:pPr>
        <w:rPr>
          <w:lang w:val="it-IT"/>
        </w:rPr>
      </w:pPr>
    </w:p>
    <w:p w14:paraId="640A82A9" w14:textId="4E17C884" w:rsidR="00A2620A" w:rsidRPr="00BB66A8" w:rsidRDefault="00A2620A" w:rsidP="006534D8">
      <w:pPr>
        <w:pStyle w:val="Titolo2"/>
        <w:rPr>
          <w:rFonts w:ascii="Times New Roman" w:hAnsi="Times New Roman" w:cs="Times New Roman"/>
          <w:lang w:val="it-IT"/>
        </w:rPr>
      </w:pPr>
      <w:r w:rsidRPr="00BB66A8">
        <w:rPr>
          <w:rFonts w:ascii="Times New Roman" w:hAnsi="Times New Roman" w:cs="Times New Roman"/>
          <w:lang w:val="it-IT"/>
        </w:rPr>
        <w:lastRenderedPageBreak/>
        <w:t>References</w:t>
      </w:r>
    </w:p>
    <w:p w14:paraId="01745137" w14:textId="77777777" w:rsidR="00523507" w:rsidRPr="00BB66A8" w:rsidRDefault="00523507" w:rsidP="00523507">
      <w:pPr>
        <w:rPr>
          <w:rFonts w:ascii="Times New Roman" w:hAnsi="Times New Roman" w:cs="Times New Roman"/>
          <w:lang w:val="it-IT"/>
        </w:rPr>
      </w:pPr>
    </w:p>
    <w:p w14:paraId="56E7C791" w14:textId="0137E0F4" w:rsidR="00432BE0" w:rsidRPr="00BB66A8" w:rsidRDefault="00432BE0" w:rsidP="00C32C99">
      <w:pPr>
        <w:autoSpaceDE w:val="0"/>
        <w:autoSpaceDN w:val="0"/>
        <w:ind w:left="-480"/>
        <w:divId w:val="587349336"/>
        <w:rPr>
          <w:rFonts w:ascii="Times New Roman" w:eastAsia="Times New Roman" w:hAnsi="Times New Roman" w:cs="Times New Roman"/>
          <w:sz w:val="24"/>
          <w:szCs w:val="24"/>
        </w:rPr>
      </w:pPr>
      <w:r w:rsidRPr="00BB66A8">
        <w:rPr>
          <w:rFonts w:ascii="Times New Roman" w:eastAsia="Times New Roman" w:hAnsi="Times New Roman" w:cs="Times New Roman"/>
          <w:lang w:val="it-IT"/>
        </w:rPr>
        <w:t xml:space="preserve">Aiassa, V., Garnero, C., Longhi, M.R., Zoppi, A., 2021. </w:t>
      </w:r>
      <w:r w:rsidRPr="00BB66A8">
        <w:rPr>
          <w:rFonts w:ascii="Times New Roman" w:eastAsia="Times New Roman" w:hAnsi="Times New Roman" w:cs="Times New Roman"/>
        </w:rPr>
        <w:t>Cyclodextrin multicomponent complexes: Pharmaceutical applications. Pharmaceutics 13. https://doi.org/10.3390/pharmaceutics13071099</w:t>
      </w:r>
    </w:p>
    <w:p w14:paraId="14DFEDD4" w14:textId="77777777" w:rsidR="00432BE0" w:rsidRPr="00BB66A8" w:rsidRDefault="00432BE0">
      <w:pPr>
        <w:autoSpaceDE w:val="0"/>
        <w:autoSpaceDN w:val="0"/>
        <w:ind w:hanging="480"/>
        <w:divId w:val="61567887"/>
        <w:rPr>
          <w:rFonts w:ascii="Times New Roman" w:eastAsia="Times New Roman" w:hAnsi="Times New Roman" w:cs="Times New Roman"/>
        </w:rPr>
      </w:pPr>
      <w:r w:rsidRPr="00BB66A8">
        <w:rPr>
          <w:rFonts w:ascii="Times New Roman" w:eastAsia="Times New Roman" w:hAnsi="Times New Roman" w:cs="Times New Roman"/>
        </w:rPr>
        <w:t>Alam, M.A., Al-Jenoobi, F.I., Al-Mohizea, A.M., Ali, R., 2015. Effervescence Assisted Fusion Technique to Enhance the Solubility of Drugs. AAPS PharmSciTech 16, 1487–1494. https://doi.org/10.1208/s12249-015-0381-2</w:t>
      </w:r>
    </w:p>
    <w:p w14:paraId="6DB3A3EC" w14:textId="77777777" w:rsidR="00432BE0" w:rsidRPr="00BB66A8" w:rsidRDefault="00432BE0">
      <w:pPr>
        <w:autoSpaceDE w:val="0"/>
        <w:autoSpaceDN w:val="0"/>
        <w:ind w:hanging="480"/>
        <w:divId w:val="1839887275"/>
        <w:rPr>
          <w:rFonts w:ascii="Times New Roman" w:eastAsia="Times New Roman" w:hAnsi="Times New Roman" w:cs="Times New Roman"/>
        </w:rPr>
      </w:pPr>
      <w:r w:rsidRPr="00BB66A8">
        <w:rPr>
          <w:rFonts w:ascii="Times New Roman" w:eastAsia="Times New Roman" w:hAnsi="Times New Roman" w:cs="Times New Roman"/>
        </w:rPr>
        <w:t>Alfadda, A.A., Storr, M.A., Shaffer, E.A., 2011. Eosinophilic colitis: An update on pathophysiology and treatment. British Medical Bulletin 100, 59–72. https://doi.org/10.1093/bmb/ldr045</w:t>
      </w:r>
    </w:p>
    <w:p w14:paraId="1FA480A2" w14:textId="77777777" w:rsidR="00432BE0" w:rsidRPr="00BB66A8" w:rsidRDefault="00432BE0">
      <w:pPr>
        <w:autoSpaceDE w:val="0"/>
        <w:autoSpaceDN w:val="0"/>
        <w:ind w:hanging="480"/>
        <w:divId w:val="43986506"/>
        <w:rPr>
          <w:rFonts w:ascii="Times New Roman" w:eastAsia="Times New Roman" w:hAnsi="Times New Roman" w:cs="Times New Roman"/>
        </w:rPr>
      </w:pPr>
      <w:r w:rsidRPr="00BB66A8">
        <w:rPr>
          <w:rFonts w:ascii="Times New Roman" w:eastAsia="Times New Roman" w:hAnsi="Times New Roman" w:cs="Times New Roman"/>
        </w:rPr>
        <w:t>Alhijjaj, M., Belton, P., Qi, S., 2016. An investigation into the use of polymer blends to improve the printability of and regulate drug release from pharmaceutical solid dispersions prepared via fused deposition modeling (FDM) 3D printing. European Journal of Pharmaceutics and Biopharmaceutics 108, 111–125. https://doi.org/10.1016/j.ejpb.2016.08.016</w:t>
      </w:r>
    </w:p>
    <w:p w14:paraId="04E78FE9" w14:textId="1F9BF37E" w:rsidR="00432BE0" w:rsidRDefault="00432BE0">
      <w:pPr>
        <w:autoSpaceDE w:val="0"/>
        <w:autoSpaceDN w:val="0"/>
        <w:ind w:hanging="480"/>
        <w:divId w:val="1503819419"/>
        <w:rPr>
          <w:rFonts w:ascii="Times New Roman" w:eastAsia="Times New Roman" w:hAnsi="Times New Roman" w:cs="Times New Roman"/>
        </w:rPr>
      </w:pPr>
      <w:r w:rsidRPr="00BB66A8">
        <w:rPr>
          <w:rFonts w:ascii="Times New Roman" w:eastAsia="Times New Roman" w:hAnsi="Times New Roman" w:cs="Times New Roman"/>
          <w:lang w:val="it-IT"/>
        </w:rPr>
        <w:t xml:space="preserve">Altamimi, M.A., Neau, S.H., 2017. </w:t>
      </w:r>
      <w:r w:rsidRPr="00BB66A8">
        <w:rPr>
          <w:rFonts w:ascii="Times New Roman" w:eastAsia="Times New Roman" w:hAnsi="Times New Roman" w:cs="Times New Roman"/>
        </w:rPr>
        <w:t xml:space="preserve">Investigation of the in vitro performance difference of drug-Soluplus® and drug-PEG 6000 dispersions when prepared using spray drying or lyophilization. Saudi Pharmaceutical Journal 25, 419–439. </w:t>
      </w:r>
      <w:r w:rsidR="00540F3E" w:rsidRPr="00821765">
        <w:rPr>
          <w:rFonts w:ascii="Times New Roman" w:eastAsia="Times New Roman" w:hAnsi="Times New Roman" w:cs="Times New Roman"/>
        </w:rPr>
        <w:t>https://doi.org/10.1016/j.jsps.2016.09.013</w:t>
      </w:r>
    </w:p>
    <w:p w14:paraId="1D3A48D0" w14:textId="76E31722" w:rsidR="00540F3E" w:rsidRPr="005218C0" w:rsidRDefault="00540F3E" w:rsidP="00540F3E">
      <w:pPr>
        <w:autoSpaceDE w:val="0"/>
        <w:autoSpaceDN w:val="0"/>
        <w:ind w:hanging="480"/>
        <w:divId w:val="1503819419"/>
        <w:rPr>
          <w:rFonts w:ascii="Times New Roman" w:eastAsia="Times New Roman" w:hAnsi="Times New Roman" w:cs="Times New Roman"/>
        </w:rPr>
      </w:pPr>
      <w:r w:rsidRPr="005218C0">
        <w:rPr>
          <w:rFonts w:ascii="Times New Roman" w:eastAsia="Times New Roman" w:hAnsi="Times New Roman" w:cs="Times New Roman"/>
        </w:rPr>
        <w:t xml:space="preserve">Arduino, I., Liu, Z., Iacobazzi, R.M., Lopedota, A.A., Lopalco, A., Cutrignelli, A., Laquintana, V., Porcelli, L., Azzariti, A., Franco, M., Santos, H.A., Denora, N., 2021. </w:t>
      </w:r>
      <w:r w:rsidRPr="00540F3E">
        <w:rPr>
          <w:rFonts w:ascii="Times New Roman" w:eastAsia="Times New Roman" w:hAnsi="Times New Roman" w:cs="Times New Roman"/>
        </w:rPr>
        <w:t xml:space="preserve">Microfluidic preparation and in vitro evaluation of iRGD-functionalized solid lipid nanoparticles for targeted delivery of paclitaxel to tumor cells. </w:t>
      </w:r>
      <w:r w:rsidRPr="005218C0">
        <w:rPr>
          <w:rFonts w:ascii="Times New Roman" w:eastAsia="Times New Roman" w:hAnsi="Times New Roman" w:cs="Times New Roman"/>
        </w:rPr>
        <w:t>Int. J. Pharm. 610. https://doi.org/10.1016/j.ijpharm.2021.121246</w:t>
      </w:r>
    </w:p>
    <w:p w14:paraId="428894F1" w14:textId="77777777" w:rsidR="00432BE0" w:rsidRPr="00BB66A8" w:rsidRDefault="00432BE0">
      <w:pPr>
        <w:autoSpaceDE w:val="0"/>
        <w:autoSpaceDN w:val="0"/>
        <w:ind w:hanging="480"/>
        <w:divId w:val="1235236147"/>
        <w:rPr>
          <w:rFonts w:ascii="Times New Roman" w:eastAsia="Times New Roman" w:hAnsi="Times New Roman" w:cs="Times New Roman"/>
        </w:rPr>
      </w:pPr>
      <w:r w:rsidRPr="005218C0">
        <w:rPr>
          <w:rFonts w:ascii="Times New Roman" w:eastAsia="Times New Roman" w:hAnsi="Times New Roman" w:cs="Times New Roman"/>
        </w:rPr>
        <w:t xml:space="preserve">Bandi, N., Wei, W., Roberts, C.B., Kotra, L.P., Kompella, U.B., 2004. </w:t>
      </w:r>
      <w:r w:rsidRPr="00BB66A8">
        <w:rPr>
          <w:rFonts w:ascii="Times New Roman" w:eastAsia="Times New Roman" w:hAnsi="Times New Roman" w:cs="Times New Roman"/>
        </w:rPr>
        <w:t>Preparation of budesonide- and indomethacin-hydroxypropyl-beta-cyclodextrin (HPBCD) complexes using a single-step, organic-solvent-free supercritical fluid process. Eur J Pharm Sci 23, 159–168. https://doi.org/10.1016/j.ejps.2004.06.007</w:t>
      </w:r>
    </w:p>
    <w:p w14:paraId="0CC6BD57" w14:textId="77777777" w:rsidR="00432BE0" w:rsidRPr="00BB66A8" w:rsidRDefault="00432BE0">
      <w:pPr>
        <w:autoSpaceDE w:val="0"/>
        <w:autoSpaceDN w:val="0"/>
        <w:ind w:hanging="480"/>
        <w:divId w:val="2140415050"/>
        <w:rPr>
          <w:rFonts w:ascii="Times New Roman" w:eastAsia="Times New Roman" w:hAnsi="Times New Roman" w:cs="Times New Roman"/>
        </w:rPr>
      </w:pPr>
      <w:r w:rsidRPr="00BB66A8">
        <w:rPr>
          <w:rFonts w:ascii="Times New Roman" w:eastAsia="Times New Roman" w:hAnsi="Times New Roman" w:cs="Times New Roman"/>
        </w:rPr>
        <w:t>Barillaro, V., Evrard, B., Delattre, L., Piel, G., 2005. Oral bioavailability in pigs of a miconazoleγ/hydroxypropyl-γ-cyclodextrin/L-tartaric acid inclusion complex produced by supercritical carbon dioxide processing. AAPS Journal 7. https://doi.org/10.1208/aapsj070116</w:t>
      </w:r>
    </w:p>
    <w:p w14:paraId="3F5A79A3" w14:textId="77777777" w:rsidR="00432BE0" w:rsidRPr="00BB66A8" w:rsidRDefault="00432BE0">
      <w:pPr>
        <w:autoSpaceDE w:val="0"/>
        <w:autoSpaceDN w:val="0"/>
        <w:ind w:hanging="480"/>
        <w:divId w:val="1045761415"/>
        <w:rPr>
          <w:rFonts w:ascii="Times New Roman" w:eastAsia="Times New Roman" w:hAnsi="Times New Roman" w:cs="Times New Roman"/>
        </w:rPr>
      </w:pPr>
      <w:r w:rsidRPr="00BB66A8">
        <w:rPr>
          <w:rFonts w:ascii="Times New Roman" w:eastAsia="Times New Roman" w:hAnsi="Times New Roman" w:cs="Times New Roman"/>
        </w:rPr>
        <w:t>Bibby, D.C., Davies, N.M., Tucker, I.G., 2000. Mechanisms by which cyclodextrins modify drug release from polymeric drug delivery systems. International Journal of Pharmaceutics 197, 1–11. https://doi.org/10.1016/S0378-5173(00)00335-5</w:t>
      </w:r>
    </w:p>
    <w:p w14:paraId="0CF9438D" w14:textId="60F46969" w:rsidR="00432BE0" w:rsidRPr="005218C0" w:rsidRDefault="00432BE0">
      <w:pPr>
        <w:autoSpaceDE w:val="0"/>
        <w:autoSpaceDN w:val="0"/>
        <w:ind w:hanging="480"/>
        <w:divId w:val="97650418"/>
        <w:rPr>
          <w:rFonts w:ascii="Times New Roman" w:eastAsia="Times New Roman" w:hAnsi="Times New Roman" w:cs="Times New Roman"/>
        </w:rPr>
      </w:pPr>
      <w:r w:rsidRPr="00BB66A8">
        <w:rPr>
          <w:rFonts w:ascii="Times New Roman" w:eastAsia="Times New Roman" w:hAnsi="Times New Roman" w:cs="Times New Roman"/>
        </w:rPr>
        <w:t>Boniatti, J., Januskaite, P., da Fonseca, L.B., Viçosa, A.L., Amendoeira, F.C., Tuleu, C., Basit, A.W., Goyanes, A., Ré, M.I., 2021. Direct powder extrusion 3d printing of praziquantel to overcome neglected disease formulation challenges in paediatric populations. Pharmaceutics 13.</w:t>
      </w:r>
      <w:r w:rsidR="00540F3E">
        <w:rPr>
          <w:rFonts w:ascii="Times New Roman" w:eastAsia="Times New Roman" w:hAnsi="Times New Roman" w:cs="Times New Roman"/>
        </w:rPr>
        <w:t xml:space="preserve"> </w:t>
      </w:r>
      <w:r w:rsidR="00540F3E" w:rsidRPr="00821765">
        <w:rPr>
          <w:rFonts w:ascii="Times New Roman" w:eastAsia="Times New Roman" w:hAnsi="Times New Roman" w:cs="Times New Roman"/>
        </w:rPr>
        <w:t>https://doi.org/10.3390/pharmaceutics13081114</w:t>
      </w:r>
    </w:p>
    <w:p w14:paraId="58083C58" w14:textId="43F9A9CB" w:rsidR="00540F3E" w:rsidRPr="00BB66A8" w:rsidRDefault="00540F3E">
      <w:pPr>
        <w:autoSpaceDE w:val="0"/>
        <w:autoSpaceDN w:val="0"/>
        <w:ind w:hanging="480"/>
        <w:divId w:val="97650418"/>
        <w:rPr>
          <w:rFonts w:ascii="Times New Roman" w:eastAsia="Times New Roman" w:hAnsi="Times New Roman" w:cs="Times New Roman"/>
        </w:rPr>
      </w:pPr>
      <w:r w:rsidRPr="005218C0">
        <w:rPr>
          <w:rFonts w:ascii="Times New Roman" w:eastAsia="Times New Roman" w:hAnsi="Times New Roman" w:cs="Times New Roman"/>
        </w:rPr>
        <w:t xml:space="preserve">Dimitri, P., Pignataro, V., Lupo, M., Bonifazi, D., Henke, M., Musazzi, U.M., Ernst, F., Minghetti, P., Redaelli, D.F., Antimisiaris, S.G., Migliaccio, G., Bonifazi, F., Marciani, L., Courtenay, A.J., Denora, N., Lopedota, A., 2021. </w:t>
      </w:r>
      <w:r w:rsidRPr="00540F3E">
        <w:rPr>
          <w:rFonts w:ascii="Times New Roman" w:eastAsia="Times New Roman" w:hAnsi="Times New Roman" w:cs="Times New Roman"/>
        </w:rPr>
        <w:t>Medical device development for children and young people—reviewing the challenges and opportunities. Pharmaceutics 13. https://doi.org/10.3390/pharmaceutics13122178</w:t>
      </w:r>
    </w:p>
    <w:p w14:paraId="51A129D3" w14:textId="77777777" w:rsidR="00432BE0" w:rsidRPr="00BB66A8" w:rsidRDefault="00432BE0">
      <w:pPr>
        <w:autoSpaceDE w:val="0"/>
        <w:autoSpaceDN w:val="0"/>
        <w:ind w:hanging="480"/>
        <w:divId w:val="100952699"/>
        <w:rPr>
          <w:rFonts w:ascii="Times New Roman" w:eastAsia="Times New Roman" w:hAnsi="Times New Roman" w:cs="Times New Roman"/>
        </w:rPr>
      </w:pPr>
      <w:r w:rsidRPr="00BB66A8">
        <w:rPr>
          <w:rFonts w:ascii="Times New Roman" w:eastAsia="Times New Roman" w:hAnsi="Times New Roman" w:cs="Times New Roman"/>
        </w:rPr>
        <w:t>Dufour, G., Bigazzi, W., Wong, N., Boschini, F., De Tullio, P., Piel, G., Cataldo, D., Evrard, B., 2015. Interest of cyclodextrins in spray-dried microparticles formulation for sustained pulmonary delivery of budesonide. International Journal of Pharmaceutics 495, 869–878. https://doi.org/10.1016/j.ijpharm.2015.09.052</w:t>
      </w:r>
    </w:p>
    <w:p w14:paraId="2ECE66EF" w14:textId="77777777" w:rsidR="00432BE0" w:rsidRPr="00BB66A8" w:rsidRDefault="00432BE0">
      <w:pPr>
        <w:autoSpaceDE w:val="0"/>
        <w:autoSpaceDN w:val="0"/>
        <w:ind w:hanging="480"/>
        <w:divId w:val="711459133"/>
        <w:rPr>
          <w:rFonts w:ascii="Times New Roman" w:eastAsia="Times New Roman" w:hAnsi="Times New Roman" w:cs="Times New Roman"/>
        </w:rPr>
      </w:pPr>
      <w:r w:rsidRPr="00BB66A8">
        <w:rPr>
          <w:rFonts w:ascii="Times New Roman" w:eastAsia="Times New Roman" w:hAnsi="Times New Roman" w:cs="Times New Roman"/>
        </w:rPr>
        <w:t>El Aita, I., Rahman, J., Breitkreutz, J., Quodbach, J., 2020a. 3D-Printing with precise layer-wise dose adjustments for paediatric use via pressure-assisted microsyringe printing. European Journal of Pharmaceutics and Biopharmaceutics 157, 59–65. https://doi.org/10.1016/j.ejpb.2020.09.012</w:t>
      </w:r>
    </w:p>
    <w:p w14:paraId="6E8C1906" w14:textId="77777777" w:rsidR="00432BE0" w:rsidRPr="00BB66A8" w:rsidRDefault="00432BE0">
      <w:pPr>
        <w:autoSpaceDE w:val="0"/>
        <w:autoSpaceDN w:val="0"/>
        <w:ind w:hanging="480"/>
        <w:divId w:val="286858255"/>
        <w:rPr>
          <w:rFonts w:ascii="Times New Roman" w:eastAsia="Times New Roman" w:hAnsi="Times New Roman" w:cs="Times New Roman"/>
        </w:rPr>
      </w:pPr>
      <w:r w:rsidRPr="00BB66A8">
        <w:rPr>
          <w:rFonts w:ascii="Times New Roman" w:eastAsia="Times New Roman" w:hAnsi="Times New Roman" w:cs="Times New Roman"/>
          <w:lang w:val="it-IT"/>
        </w:rPr>
        <w:lastRenderedPageBreak/>
        <w:t xml:space="preserve">El-Malah, Y., Nazzal, S., 2008. </w:t>
      </w:r>
      <w:r w:rsidRPr="00BB66A8">
        <w:rPr>
          <w:rFonts w:ascii="Times New Roman" w:eastAsia="Times New Roman" w:hAnsi="Times New Roman" w:cs="Times New Roman"/>
        </w:rPr>
        <w:t>Effect of Eudragit® RS 30D and talc powder on verapamil hydrochloride release from beads coated with drug layered matrices. AAPS PharmSciTech 9, 75–83. https://doi.org/10.1208/s12249-007-9008-6</w:t>
      </w:r>
    </w:p>
    <w:p w14:paraId="0FA8F89D" w14:textId="77777777" w:rsidR="00432BE0" w:rsidRPr="00BB66A8" w:rsidRDefault="00432BE0">
      <w:pPr>
        <w:autoSpaceDE w:val="0"/>
        <w:autoSpaceDN w:val="0"/>
        <w:ind w:hanging="480"/>
        <w:divId w:val="1772431898"/>
        <w:rPr>
          <w:rFonts w:ascii="Times New Roman" w:eastAsia="Times New Roman" w:hAnsi="Times New Roman" w:cs="Times New Roman"/>
        </w:rPr>
      </w:pPr>
      <w:r w:rsidRPr="00BB66A8">
        <w:rPr>
          <w:rFonts w:ascii="Times New Roman" w:eastAsia="Times New Roman" w:hAnsi="Times New Roman" w:cs="Times New Roman"/>
        </w:rPr>
        <w:t>El-Say, K.M., Ahmed, T.A., Abdelbary, M.F., Ali, B.E., Aljaeid, B.M., Zidan, A.S., 2015. Risperidone oral disintegrating mini-tablets: A robust-product for pediatrics. Acta Pharmaceutica 65, 365–382. https://doi.org/10.1515/acph-2015-0038</w:t>
      </w:r>
    </w:p>
    <w:p w14:paraId="60565535" w14:textId="77777777" w:rsidR="00432BE0" w:rsidRPr="00BB66A8" w:rsidRDefault="00432BE0">
      <w:pPr>
        <w:autoSpaceDE w:val="0"/>
        <w:autoSpaceDN w:val="0"/>
        <w:ind w:hanging="480"/>
        <w:divId w:val="794301037"/>
        <w:rPr>
          <w:rFonts w:ascii="Times New Roman" w:eastAsia="Times New Roman" w:hAnsi="Times New Roman" w:cs="Times New Roman"/>
        </w:rPr>
      </w:pPr>
      <w:r w:rsidRPr="00BB66A8">
        <w:rPr>
          <w:rFonts w:ascii="Times New Roman" w:eastAsia="Times New Roman" w:hAnsi="Times New Roman" w:cs="Times New Roman"/>
        </w:rPr>
        <w:t>Fang, S., Song, Y., Zhang, S., Li, C., 2019. Retrospective study of budesonide in children with eosinophilic gastroenteritis. Pediatric Research 86, 505–509. https://doi.org/10.1038/s41390-019-0444-2</w:t>
      </w:r>
    </w:p>
    <w:p w14:paraId="6B0FB89B" w14:textId="77777777" w:rsidR="00432BE0" w:rsidRPr="00BB66A8" w:rsidRDefault="00432BE0">
      <w:pPr>
        <w:autoSpaceDE w:val="0"/>
        <w:autoSpaceDN w:val="0"/>
        <w:ind w:hanging="480"/>
        <w:divId w:val="1855027681"/>
        <w:rPr>
          <w:rFonts w:ascii="Times New Roman" w:eastAsia="Times New Roman" w:hAnsi="Times New Roman" w:cs="Times New Roman"/>
        </w:rPr>
      </w:pPr>
      <w:r w:rsidRPr="00BB66A8">
        <w:rPr>
          <w:rFonts w:ascii="Times New Roman" w:eastAsia="Times New Roman" w:hAnsi="Times New Roman" w:cs="Times New Roman"/>
        </w:rPr>
        <w:t>Gao, C., Huang, J., Jiao, Y., Shan, L., Liu, Y., Li, Y., Mei, X., 2006. In vitro release and in vivo absorption in beagle dogs of meloxicam from Eudragit® FS 30 D-coated pellets. International Journal of Pharmaceutics 322, 104–112. https://doi.org/10.1016/j.ijpharm.2006.05.035</w:t>
      </w:r>
    </w:p>
    <w:p w14:paraId="5529F0CB" w14:textId="77777777" w:rsidR="00432BE0" w:rsidRPr="00BB66A8" w:rsidRDefault="00432BE0">
      <w:pPr>
        <w:autoSpaceDE w:val="0"/>
        <w:autoSpaceDN w:val="0"/>
        <w:ind w:hanging="480"/>
        <w:divId w:val="1632250774"/>
        <w:rPr>
          <w:rFonts w:ascii="Times New Roman" w:eastAsia="Times New Roman" w:hAnsi="Times New Roman" w:cs="Times New Roman"/>
        </w:rPr>
      </w:pPr>
      <w:r w:rsidRPr="00BB66A8">
        <w:rPr>
          <w:rFonts w:ascii="Times New Roman" w:eastAsia="Times New Roman" w:hAnsi="Times New Roman" w:cs="Times New Roman"/>
        </w:rPr>
        <w:t>Gareb, B., Dijkstra, G., Kosterink, J.G.W., Frijlink, H.W., 2019. Development of novel zero-order release budesonide tablets for the treatment of ileo-colonic inflammatory bowel disease and comparison with formulations currently used in clinical practice. International Journal of Pharmaceutics 554, 366–375. https://doi.org/10.1016/j.ijpharm.2018.11.019</w:t>
      </w:r>
    </w:p>
    <w:p w14:paraId="45077789" w14:textId="77777777" w:rsidR="00432BE0" w:rsidRPr="00BB66A8" w:rsidRDefault="00432BE0">
      <w:pPr>
        <w:autoSpaceDE w:val="0"/>
        <w:autoSpaceDN w:val="0"/>
        <w:ind w:hanging="480"/>
        <w:divId w:val="776563800"/>
        <w:rPr>
          <w:rFonts w:ascii="Times New Roman" w:eastAsia="Times New Roman" w:hAnsi="Times New Roman" w:cs="Times New Roman"/>
        </w:rPr>
      </w:pPr>
      <w:r w:rsidRPr="00BB66A8">
        <w:rPr>
          <w:rFonts w:ascii="Times New Roman" w:eastAsia="Times New Roman" w:hAnsi="Times New Roman" w:cs="Times New Roman"/>
        </w:rPr>
        <w:t>Goyanes, A., Allahham, N., Trenfield, S.J., Stoyanov, E., Gaisford, S., Basit, A.W., 2019. Direct powder extrusion 3D printing: Fabrication of drug products using a novel single-step process. International Journal of Pharmaceutics 567. https://doi.org/10.1016/j.ijpharm.2019.118471</w:t>
      </w:r>
    </w:p>
    <w:p w14:paraId="4A8189CD" w14:textId="77777777" w:rsidR="00432BE0" w:rsidRPr="00BB66A8" w:rsidRDefault="00432BE0">
      <w:pPr>
        <w:autoSpaceDE w:val="0"/>
        <w:autoSpaceDN w:val="0"/>
        <w:ind w:hanging="480"/>
        <w:divId w:val="187255195"/>
        <w:rPr>
          <w:rFonts w:ascii="Times New Roman" w:eastAsia="Times New Roman" w:hAnsi="Times New Roman" w:cs="Times New Roman"/>
        </w:rPr>
      </w:pPr>
      <w:r w:rsidRPr="00BB66A8">
        <w:rPr>
          <w:rFonts w:ascii="Times New Roman" w:eastAsia="Times New Roman" w:hAnsi="Times New Roman" w:cs="Times New Roman"/>
        </w:rPr>
        <w:t>Goyanes, A., Chang, H., Sedough, D., Hatton, G.B., Wang, J., Buanz, A., Gaisford, S., Basit, A.W., 2015. Fabrication of controlled-release budesonide tablets via desktop (FDM) 3D printing. International Journal of Pharmaceutics 496, 414–420. https://doi.org/10.1016/j.ijpharm.2015.10.039</w:t>
      </w:r>
    </w:p>
    <w:p w14:paraId="66905ECD" w14:textId="77777777" w:rsidR="00432BE0" w:rsidRPr="00BB66A8" w:rsidRDefault="00432BE0">
      <w:pPr>
        <w:autoSpaceDE w:val="0"/>
        <w:autoSpaceDN w:val="0"/>
        <w:ind w:hanging="480"/>
        <w:divId w:val="1325353358"/>
        <w:rPr>
          <w:rFonts w:ascii="Times New Roman" w:eastAsia="Times New Roman" w:hAnsi="Times New Roman" w:cs="Times New Roman"/>
        </w:rPr>
      </w:pPr>
      <w:r w:rsidRPr="00BB66A8">
        <w:rPr>
          <w:rFonts w:ascii="Times New Roman" w:eastAsia="Times New Roman" w:hAnsi="Times New Roman" w:cs="Times New Roman"/>
        </w:rPr>
        <w:t>Granados, P.A., Pinho, L.A.G., Sa-Barreto, L.L., Gratieri, T., Gelfuso, G.M., Cunha-Filho, M., 2022. Application of hot-melt extrusion in the complexation of naringenin with cyclodextrin using hydrophilic polymers. Advanced Powder Technology 33, 103380. https://doi.org/10.1016/j.apt.2021.11.032</w:t>
      </w:r>
    </w:p>
    <w:p w14:paraId="4B91DCCD" w14:textId="77777777" w:rsidR="00432BE0" w:rsidRPr="00BB66A8" w:rsidRDefault="00432BE0">
      <w:pPr>
        <w:autoSpaceDE w:val="0"/>
        <w:autoSpaceDN w:val="0"/>
        <w:ind w:hanging="480"/>
        <w:divId w:val="1503474947"/>
        <w:rPr>
          <w:rFonts w:ascii="Times New Roman" w:eastAsia="Times New Roman" w:hAnsi="Times New Roman" w:cs="Times New Roman"/>
        </w:rPr>
      </w:pPr>
      <w:r w:rsidRPr="00BB66A8">
        <w:rPr>
          <w:rFonts w:ascii="Times New Roman" w:eastAsia="Times New Roman" w:hAnsi="Times New Roman" w:cs="Times New Roman"/>
        </w:rPr>
        <w:t>Guajardo, J.R., Plotnick, L.M., Fende, J.M., Collins, M.H., Putnam, P.E., Rothenberg, M.E., 2002. Eosinophil-associated gastrointestinal disorders: A world-wide-web based registry. Journal of Pediatrics 141, 576–581. https://doi.org/10.1067/mpd.2002.127663</w:t>
      </w:r>
    </w:p>
    <w:p w14:paraId="35D087C1" w14:textId="77777777" w:rsidR="00432BE0" w:rsidRPr="00BB66A8" w:rsidRDefault="00432BE0">
      <w:pPr>
        <w:autoSpaceDE w:val="0"/>
        <w:autoSpaceDN w:val="0"/>
        <w:ind w:hanging="480"/>
        <w:divId w:val="1022048866"/>
        <w:rPr>
          <w:rFonts w:ascii="Times New Roman" w:eastAsia="Times New Roman" w:hAnsi="Times New Roman" w:cs="Times New Roman"/>
        </w:rPr>
      </w:pPr>
      <w:r w:rsidRPr="00BB66A8">
        <w:rPr>
          <w:rFonts w:ascii="Times New Roman" w:eastAsia="Times New Roman" w:hAnsi="Times New Roman" w:cs="Times New Roman"/>
        </w:rPr>
        <w:t>Herbada, R.S., Torres-Suárez, A.I., Otero-Espinar, F.J., Fraguas-Sanchez, A.I., Lopez-Cabarcos, E., Rubio-Retama, J., Fernández-Carballido, A., 2021. Matrix tablets based on a novel poly (magnesium acrylate) hydrogel for the treatment of inflammatory bowel diseases. International Journal of Pharmaceutics 608. https://doi.org/10.1016/j.ijpharm.2021.121121</w:t>
      </w:r>
    </w:p>
    <w:p w14:paraId="1BF4C471" w14:textId="77777777" w:rsidR="00432BE0" w:rsidRPr="00BB66A8" w:rsidRDefault="00432BE0">
      <w:pPr>
        <w:autoSpaceDE w:val="0"/>
        <w:autoSpaceDN w:val="0"/>
        <w:ind w:hanging="480"/>
        <w:divId w:val="1713967483"/>
        <w:rPr>
          <w:rFonts w:ascii="Times New Roman" w:eastAsia="Times New Roman" w:hAnsi="Times New Roman" w:cs="Times New Roman"/>
        </w:rPr>
      </w:pPr>
      <w:r w:rsidRPr="00BB66A8">
        <w:rPr>
          <w:rFonts w:ascii="Times New Roman" w:eastAsia="Times New Roman" w:hAnsi="Times New Roman" w:cs="Times New Roman"/>
        </w:rPr>
        <w:t>Huyghebaert, N., Vermeire, A., Remon, J.P., 2004. Alternative method for enteric coating of HPMC capsules resulting in ready-to-use enteric-coated capsules. European Journal of Pharmaceutical Sciences 21, 617–623. https://doi.org/10.1016/j.ejps.2004.01.002</w:t>
      </w:r>
    </w:p>
    <w:p w14:paraId="1820E7EA" w14:textId="77777777" w:rsidR="00432BE0" w:rsidRPr="00BB66A8" w:rsidRDefault="00432BE0">
      <w:pPr>
        <w:autoSpaceDE w:val="0"/>
        <w:autoSpaceDN w:val="0"/>
        <w:ind w:hanging="480"/>
        <w:divId w:val="517237430"/>
        <w:rPr>
          <w:rFonts w:ascii="Times New Roman" w:eastAsia="Times New Roman" w:hAnsi="Times New Roman" w:cs="Times New Roman"/>
          <w:lang w:val="it-IT"/>
        </w:rPr>
      </w:pPr>
      <w:r w:rsidRPr="00BB66A8">
        <w:rPr>
          <w:rFonts w:ascii="Times New Roman" w:eastAsia="Times New Roman" w:hAnsi="Times New Roman" w:cs="Times New Roman"/>
        </w:rPr>
        <w:t xml:space="preserve">Illiger, S.R., Fadnis, C., Demappa, T., Jayaraju, J., Keshavayya, J., 2009. Miscibility studies of HPMC/PEG blends in water by viscosity, density, refractive index and ultrasonic velocity method. </w:t>
      </w:r>
      <w:r w:rsidRPr="00BB66A8">
        <w:rPr>
          <w:rFonts w:ascii="Times New Roman" w:eastAsia="Times New Roman" w:hAnsi="Times New Roman" w:cs="Times New Roman"/>
          <w:lang w:val="it-IT"/>
        </w:rPr>
        <w:t>Carbohydrate Polymers 75, 484–488. https://doi.org/10.1016/j.carbpol.2008.08.014</w:t>
      </w:r>
    </w:p>
    <w:p w14:paraId="416DACB6" w14:textId="49D4C3D7" w:rsidR="00432BE0" w:rsidRDefault="00432BE0">
      <w:pPr>
        <w:autoSpaceDE w:val="0"/>
        <w:autoSpaceDN w:val="0"/>
        <w:ind w:hanging="480"/>
        <w:divId w:val="2101637925"/>
        <w:rPr>
          <w:rFonts w:ascii="Times New Roman" w:eastAsia="Times New Roman" w:hAnsi="Times New Roman" w:cs="Times New Roman"/>
        </w:rPr>
      </w:pPr>
      <w:r w:rsidRPr="00BB66A8">
        <w:rPr>
          <w:rFonts w:ascii="Times New Roman" w:eastAsia="Times New Roman" w:hAnsi="Times New Roman" w:cs="Times New Roman"/>
          <w:lang w:val="it-IT"/>
        </w:rPr>
        <w:t xml:space="preserve">Impellizzeri, G., Marasco, G., Eusebi, L.H., Salfi, N., Bazzoli, F., Zagari, R.M., 2019. </w:t>
      </w:r>
      <w:r w:rsidRPr="00BB66A8">
        <w:rPr>
          <w:rFonts w:ascii="Times New Roman" w:eastAsia="Times New Roman" w:hAnsi="Times New Roman" w:cs="Times New Roman"/>
        </w:rPr>
        <w:t xml:space="preserve">Eosinophilic colitis: A clinical review. Digestive and Liver Disease 51, 769–773. </w:t>
      </w:r>
      <w:r w:rsidR="00333424">
        <w:rPr>
          <w:rFonts w:ascii="Times New Roman" w:eastAsia="Times New Roman" w:hAnsi="Times New Roman" w:cs="Times New Roman"/>
        </w:rPr>
        <w:t>https://doi.org/10.1016/j.dld.2019.04.011</w:t>
      </w:r>
    </w:p>
    <w:p w14:paraId="4CCE9C02" w14:textId="17E25EAA" w:rsidR="00333424" w:rsidRPr="00AB2FA7" w:rsidRDefault="00333424">
      <w:pPr>
        <w:autoSpaceDE w:val="0"/>
        <w:autoSpaceDN w:val="0"/>
        <w:ind w:hanging="480"/>
        <w:divId w:val="2101637925"/>
        <w:rPr>
          <w:rFonts w:ascii="Times New Roman" w:eastAsia="Times New Roman" w:hAnsi="Times New Roman" w:cs="Times New Roman"/>
          <w:lang w:val="it-IT"/>
        </w:rPr>
      </w:pPr>
      <w:r w:rsidRPr="00333424">
        <w:rPr>
          <w:rFonts w:ascii="Times New Roman" w:eastAsia="Times New Roman" w:hAnsi="Times New Roman" w:cs="Times New Roman"/>
        </w:rPr>
        <w:t>Italian Official Pharmacopoeia XII edition</w:t>
      </w:r>
      <w:r>
        <w:rPr>
          <w:rFonts w:ascii="Times New Roman" w:eastAsia="Times New Roman" w:hAnsi="Times New Roman" w:cs="Times New Roman"/>
        </w:rPr>
        <w:t xml:space="preserve">, 2008a. </w:t>
      </w:r>
      <w:r w:rsidRPr="00333424">
        <w:rPr>
          <w:rFonts w:ascii="Times New Roman" w:eastAsia="Times New Roman" w:hAnsi="Times New Roman" w:cs="Times New Roman"/>
        </w:rPr>
        <w:t>Quality control of the preparation,</w:t>
      </w:r>
      <w:r>
        <w:rPr>
          <w:rFonts w:ascii="Times New Roman" w:eastAsia="Times New Roman" w:hAnsi="Times New Roman" w:cs="Times New Roman"/>
        </w:rPr>
        <w:t xml:space="preserve"> </w:t>
      </w:r>
      <w:r w:rsidRPr="00333424">
        <w:rPr>
          <w:rFonts w:ascii="Times New Roman" w:eastAsia="Times New Roman" w:hAnsi="Times New Roman" w:cs="Times New Roman"/>
        </w:rPr>
        <w:t xml:space="preserve">Ist. </w:t>
      </w:r>
      <w:r w:rsidRPr="00AB2FA7">
        <w:rPr>
          <w:rFonts w:ascii="Times New Roman" w:eastAsia="Times New Roman" w:hAnsi="Times New Roman" w:cs="Times New Roman"/>
          <w:lang w:val="it-IT"/>
        </w:rPr>
        <w:t>Poligrafo dello Stato, pag.1421.</w:t>
      </w:r>
    </w:p>
    <w:p w14:paraId="34FA9380" w14:textId="45C2F5EC" w:rsidR="00333424" w:rsidRPr="00333424" w:rsidRDefault="00333424">
      <w:pPr>
        <w:autoSpaceDE w:val="0"/>
        <w:autoSpaceDN w:val="0"/>
        <w:ind w:hanging="480"/>
        <w:divId w:val="2101637925"/>
        <w:rPr>
          <w:rFonts w:ascii="Times New Roman" w:eastAsia="Times New Roman" w:hAnsi="Times New Roman" w:cs="Times New Roman"/>
          <w:lang w:val="it-IT"/>
        </w:rPr>
      </w:pPr>
      <w:r w:rsidRPr="00AB2FA7">
        <w:rPr>
          <w:rFonts w:ascii="Times New Roman" w:eastAsia="Times New Roman" w:hAnsi="Times New Roman" w:cs="Times New Roman"/>
          <w:lang w:val="it-IT"/>
        </w:rPr>
        <w:t xml:space="preserve">Italian Official Pharmacopoeia XII edition, 2008b. </w:t>
      </w:r>
      <w:r w:rsidRPr="00333424">
        <w:rPr>
          <w:rFonts w:ascii="Times New Roman" w:eastAsia="Times New Roman" w:hAnsi="Times New Roman" w:cs="Times New Roman"/>
        </w:rPr>
        <w:t xml:space="preserve">Friability of uncoated tablets, Ist. </w:t>
      </w:r>
      <w:r w:rsidRPr="00333424">
        <w:rPr>
          <w:rFonts w:ascii="Times New Roman" w:eastAsia="Times New Roman" w:hAnsi="Times New Roman" w:cs="Times New Roman"/>
          <w:lang w:val="it-IT"/>
        </w:rPr>
        <w:t>Poligrafo dello Stato</w:t>
      </w:r>
      <w:r>
        <w:rPr>
          <w:rFonts w:ascii="Times New Roman" w:eastAsia="Times New Roman" w:hAnsi="Times New Roman" w:cs="Times New Roman"/>
          <w:lang w:val="it-IT"/>
        </w:rPr>
        <w:t>, pag.</w:t>
      </w:r>
      <w:r w:rsidRPr="00AB2FA7">
        <w:rPr>
          <w:rFonts w:ascii="Times New Roman" w:eastAsia="Times New Roman" w:hAnsi="Times New Roman" w:cs="Times New Roman"/>
          <w:lang w:val="it-IT"/>
        </w:rPr>
        <w:t xml:space="preserve"> 358.</w:t>
      </w:r>
    </w:p>
    <w:p w14:paraId="7198122D" w14:textId="4EA60E8D" w:rsidR="00333424" w:rsidRPr="00AB2FA7" w:rsidRDefault="00333424">
      <w:pPr>
        <w:autoSpaceDE w:val="0"/>
        <w:autoSpaceDN w:val="0"/>
        <w:ind w:hanging="480"/>
        <w:divId w:val="2101637925"/>
        <w:rPr>
          <w:rFonts w:ascii="Times New Roman" w:eastAsia="Times New Roman" w:hAnsi="Times New Roman" w:cs="Times New Roman"/>
          <w:lang w:val="it-IT"/>
        </w:rPr>
      </w:pPr>
      <w:r w:rsidRPr="00333424">
        <w:rPr>
          <w:rFonts w:ascii="Times New Roman" w:eastAsia="Times New Roman" w:hAnsi="Times New Roman" w:cs="Times New Roman"/>
          <w:lang w:val="it-IT"/>
        </w:rPr>
        <w:lastRenderedPageBreak/>
        <w:t xml:space="preserve">Italian Official Pharmacopoeia XII edition, 2008c. </w:t>
      </w:r>
      <w:r w:rsidRPr="00FA4DCC">
        <w:rPr>
          <w:rFonts w:ascii="Times New Roman" w:eastAsia="Times New Roman" w:hAnsi="Times New Roman" w:cs="Times New Roman"/>
        </w:rPr>
        <w:t xml:space="preserve">Disaggregation assay of gastro-resistant tablets, Ist. </w:t>
      </w:r>
      <w:r w:rsidRPr="00AB2FA7">
        <w:rPr>
          <w:rFonts w:ascii="Times New Roman" w:eastAsia="Times New Roman" w:hAnsi="Times New Roman" w:cs="Times New Roman"/>
          <w:lang w:val="it-IT"/>
        </w:rPr>
        <w:t>Poligrafo dello Stato, pag. 893.</w:t>
      </w:r>
    </w:p>
    <w:p w14:paraId="2C519FF6" w14:textId="0BA4472A" w:rsidR="00333424" w:rsidRPr="00333424" w:rsidRDefault="00333424" w:rsidP="00891927">
      <w:pPr>
        <w:autoSpaceDE w:val="0"/>
        <w:autoSpaceDN w:val="0"/>
        <w:ind w:hanging="480"/>
        <w:divId w:val="2101637925"/>
        <w:rPr>
          <w:rFonts w:ascii="Times New Roman" w:eastAsia="Times New Roman" w:hAnsi="Times New Roman" w:cs="Times New Roman"/>
          <w:lang w:val="it-IT"/>
        </w:rPr>
      </w:pPr>
      <w:r w:rsidRPr="00333424">
        <w:rPr>
          <w:rFonts w:ascii="Times New Roman" w:eastAsia="Times New Roman" w:hAnsi="Times New Roman" w:cs="Times New Roman"/>
          <w:lang w:val="it-IT"/>
        </w:rPr>
        <w:t>Italian Official Pharmacopoeia XII edition</w:t>
      </w:r>
      <w:r>
        <w:rPr>
          <w:rFonts w:ascii="Times New Roman" w:eastAsia="Times New Roman" w:hAnsi="Times New Roman" w:cs="Times New Roman"/>
          <w:lang w:val="it-IT"/>
        </w:rPr>
        <w:t>, 2008d.</w:t>
      </w:r>
      <w:r w:rsidRPr="00333424">
        <w:rPr>
          <w:rFonts w:ascii="Times New Roman" w:eastAsia="Times New Roman" w:hAnsi="Times New Roman" w:cs="Times New Roman"/>
          <w:lang w:val="it-IT"/>
        </w:rPr>
        <w:t xml:space="preserve"> Recommended dissolution media, Ist. Poligrafo dello Stato</w:t>
      </w:r>
      <w:r w:rsidR="00891927">
        <w:rPr>
          <w:rFonts w:ascii="Times New Roman" w:eastAsia="Times New Roman" w:hAnsi="Times New Roman" w:cs="Times New Roman"/>
          <w:lang w:val="it-IT"/>
        </w:rPr>
        <w:t xml:space="preserve">, pagg. </w:t>
      </w:r>
      <w:r w:rsidRPr="00333424">
        <w:rPr>
          <w:rFonts w:ascii="Times New Roman" w:eastAsia="Times New Roman" w:hAnsi="Times New Roman" w:cs="Times New Roman"/>
          <w:lang w:val="it-IT"/>
        </w:rPr>
        <w:t>351-352.</w:t>
      </w:r>
    </w:p>
    <w:p w14:paraId="27879E81" w14:textId="77777777" w:rsidR="00432BE0" w:rsidRPr="00BB66A8" w:rsidRDefault="00432BE0">
      <w:pPr>
        <w:autoSpaceDE w:val="0"/>
        <w:autoSpaceDN w:val="0"/>
        <w:ind w:hanging="480"/>
        <w:divId w:val="208297560"/>
        <w:rPr>
          <w:rFonts w:ascii="Times New Roman" w:eastAsia="Times New Roman" w:hAnsi="Times New Roman" w:cs="Times New Roman"/>
        </w:rPr>
      </w:pPr>
      <w:r w:rsidRPr="00891927">
        <w:rPr>
          <w:rFonts w:ascii="Times New Roman" w:eastAsia="Times New Roman" w:hAnsi="Times New Roman" w:cs="Times New Roman"/>
          <w:lang w:val="it-IT"/>
        </w:rPr>
        <w:t xml:space="preserve">Jug, M., Mennini, N., Kövér, K.E., Mura, P., 2014. </w:t>
      </w:r>
      <w:r w:rsidRPr="00BB66A8">
        <w:rPr>
          <w:rFonts w:ascii="Times New Roman" w:eastAsia="Times New Roman" w:hAnsi="Times New Roman" w:cs="Times New Roman"/>
        </w:rPr>
        <w:t>Comparative analysis of binary and ternary cyclodextrin complexes with econazole nitrate in solution and in solid state. Journal of Pharmaceutical and Biomedical Analysis 91, 81–91. https://doi.org/10.1016/j.jpba.2013.12.029</w:t>
      </w:r>
    </w:p>
    <w:p w14:paraId="18D89348" w14:textId="77777777" w:rsidR="00432BE0" w:rsidRPr="00BB66A8" w:rsidRDefault="00432BE0">
      <w:pPr>
        <w:autoSpaceDE w:val="0"/>
        <w:autoSpaceDN w:val="0"/>
        <w:ind w:hanging="480"/>
        <w:divId w:val="18312232"/>
        <w:rPr>
          <w:rFonts w:ascii="Times New Roman" w:eastAsia="Times New Roman" w:hAnsi="Times New Roman" w:cs="Times New Roman"/>
        </w:rPr>
      </w:pPr>
      <w:r w:rsidRPr="00BB66A8">
        <w:rPr>
          <w:rFonts w:ascii="Times New Roman" w:eastAsia="Times New Roman" w:hAnsi="Times New Roman" w:cs="Times New Roman"/>
          <w:lang w:val="it-IT"/>
        </w:rPr>
        <w:t xml:space="preserve">Kajiyama, A., Takagi, H., Moribe, K., Yamamoto, K., 2008. </w:t>
      </w:r>
      <w:r w:rsidRPr="00BB66A8">
        <w:rPr>
          <w:rFonts w:ascii="Times New Roman" w:eastAsia="Times New Roman" w:hAnsi="Times New Roman" w:cs="Times New Roman"/>
        </w:rPr>
        <w:t>Improvement of HPMC tablet disintegration by the addition of inorganic salts. Chemical and Pharmaceutical Bulletin 56, 598–601. https://doi.org/10.1248/cpb.56.598</w:t>
      </w:r>
    </w:p>
    <w:p w14:paraId="4796F185" w14:textId="77777777" w:rsidR="00432BE0" w:rsidRPr="00BB66A8" w:rsidRDefault="00432BE0">
      <w:pPr>
        <w:autoSpaceDE w:val="0"/>
        <w:autoSpaceDN w:val="0"/>
        <w:ind w:hanging="480"/>
        <w:divId w:val="1380738558"/>
        <w:rPr>
          <w:rFonts w:ascii="Times New Roman" w:eastAsia="Times New Roman" w:hAnsi="Times New Roman" w:cs="Times New Roman"/>
        </w:rPr>
      </w:pPr>
      <w:r w:rsidRPr="00BB66A8">
        <w:rPr>
          <w:rFonts w:ascii="Times New Roman" w:eastAsia="Times New Roman" w:hAnsi="Times New Roman" w:cs="Times New Roman"/>
        </w:rPr>
        <w:t>Kearns, G.L., Abdel-Rahman, S.M., Alander, S.W., Blowey, D.L., Leeder, J.S., Kauffman, R.E., 2003. Developmental Pharmacology — Drug Disposition, Action, and Therapy in Infants and Children. New England Journal of Medicine 349, 1157–1167. https://doi.org/10.1056/nejmra035092</w:t>
      </w:r>
    </w:p>
    <w:p w14:paraId="04BC5649" w14:textId="77777777" w:rsidR="00432BE0" w:rsidRPr="00BB66A8" w:rsidRDefault="00432BE0">
      <w:pPr>
        <w:autoSpaceDE w:val="0"/>
        <w:autoSpaceDN w:val="0"/>
        <w:ind w:hanging="480"/>
        <w:divId w:val="2047829771"/>
        <w:rPr>
          <w:rFonts w:ascii="Times New Roman" w:eastAsia="Times New Roman" w:hAnsi="Times New Roman" w:cs="Times New Roman"/>
        </w:rPr>
      </w:pPr>
      <w:r w:rsidRPr="00BB66A8">
        <w:rPr>
          <w:rFonts w:ascii="Times New Roman" w:eastAsia="Times New Roman" w:hAnsi="Times New Roman" w:cs="Times New Roman"/>
        </w:rPr>
        <w:t>Kim, J.E., Cho, H.J., Kim, D.D., 2014. Budesonide/cyclodextrin complex-loaded lyophilized microparticles for intranasal application. Drug Development and Industrial Pharmacy 40, 743–748. https://doi.org/10.3109/03639045.2013.782503</w:t>
      </w:r>
    </w:p>
    <w:p w14:paraId="4846CF43" w14:textId="77777777" w:rsidR="00432BE0" w:rsidRPr="00BB66A8" w:rsidRDefault="00432BE0">
      <w:pPr>
        <w:autoSpaceDE w:val="0"/>
        <w:autoSpaceDN w:val="0"/>
        <w:ind w:hanging="480"/>
        <w:divId w:val="788932334"/>
        <w:rPr>
          <w:rFonts w:ascii="Times New Roman" w:eastAsia="Times New Roman" w:hAnsi="Times New Roman" w:cs="Times New Roman"/>
        </w:rPr>
      </w:pPr>
      <w:r w:rsidRPr="00BB66A8">
        <w:rPr>
          <w:rFonts w:ascii="Times New Roman" w:eastAsia="Times New Roman" w:hAnsi="Times New Roman" w:cs="Times New Roman"/>
        </w:rPr>
        <w:t>Kinnarinen, T., Jarho, P., Järvinen, K., Järvinen, T., 2003. Pulmonary deposition of a budesonide/γ-cyclodextrin complex in vitro. Journal of Controlled Release 90, 197–205. https://doi.org/10.1016/S0168-3659(03)00176-7</w:t>
      </w:r>
    </w:p>
    <w:p w14:paraId="5F8A25A3" w14:textId="77777777" w:rsidR="00432BE0" w:rsidRPr="00BB66A8" w:rsidRDefault="00432BE0">
      <w:pPr>
        <w:autoSpaceDE w:val="0"/>
        <w:autoSpaceDN w:val="0"/>
        <w:ind w:hanging="480"/>
        <w:divId w:val="46225967"/>
        <w:rPr>
          <w:rFonts w:ascii="Times New Roman" w:eastAsia="Times New Roman" w:hAnsi="Times New Roman" w:cs="Times New Roman"/>
        </w:rPr>
      </w:pPr>
      <w:r w:rsidRPr="00BB66A8">
        <w:rPr>
          <w:rFonts w:ascii="Times New Roman" w:eastAsia="Times New Roman" w:hAnsi="Times New Roman" w:cs="Times New Roman"/>
        </w:rPr>
        <w:t>Kuźmińska, M., Pereira, B.C., Habashy, R., Peak, M., Isreb, M., Gough, T.D., Isreb, A., Alhnan, M.A., 2021. Solvent-free temperature-facilitated direct extrusion 3D printing for pharmaceuticals. International Journal of Pharmaceutics 598, 1–9. https://doi.org/10.1016/j.ijpharm.2021.120305</w:t>
      </w:r>
    </w:p>
    <w:p w14:paraId="51D2D86C" w14:textId="63665F0A" w:rsidR="00432BE0" w:rsidRPr="00BB66A8" w:rsidRDefault="00432BE0">
      <w:pPr>
        <w:autoSpaceDE w:val="0"/>
        <w:autoSpaceDN w:val="0"/>
        <w:ind w:hanging="480"/>
        <w:divId w:val="1322124765"/>
        <w:rPr>
          <w:rFonts w:ascii="Times New Roman" w:eastAsia="Times New Roman" w:hAnsi="Times New Roman" w:cs="Times New Roman"/>
        </w:rPr>
      </w:pPr>
      <w:r w:rsidRPr="00BB66A8">
        <w:rPr>
          <w:rFonts w:ascii="Times New Roman" w:eastAsia="Times New Roman" w:hAnsi="Times New Roman" w:cs="Times New Roman"/>
        </w:rPr>
        <w:t xml:space="preserve">Lafeber, I., Ruijgrok, E.J., Guchelaar, H.J., Schimmel, K.J.M., 2022a. 3D Printing of Pediatric Medication: The End of Bad Tasting Oral </w:t>
      </w:r>
      <w:r w:rsidR="00891927" w:rsidRPr="00BB66A8">
        <w:rPr>
          <w:rFonts w:ascii="Times New Roman" w:eastAsia="Times New Roman" w:hAnsi="Times New Roman" w:cs="Times New Roman"/>
        </w:rPr>
        <w:t>Liquids? —</w:t>
      </w:r>
      <w:r w:rsidRPr="00BB66A8">
        <w:rPr>
          <w:rFonts w:ascii="Times New Roman" w:eastAsia="Times New Roman" w:hAnsi="Times New Roman" w:cs="Times New Roman"/>
        </w:rPr>
        <w:t>A Scoping Review. Pharmaceutics 14, 1–23. https://doi.org/10.3390/pharmaceutics14020416</w:t>
      </w:r>
    </w:p>
    <w:p w14:paraId="7B671B77" w14:textId="77777777" w:rsidR="00432BE0" w:rsidRPr="00BB66A8" w:rsidRDefault="00432BE0">
      <w:pPr>
        <w:autoSpaceDE w:val="0"/>
        <w:autoSpaceDN w:val="0"/>
        <w:ind w:hanging="480"/>
        <w:divId w:val="343676951"/>
        <w:rPr>
          <w:rFonts w:ascii="Times New Roman" w:eastAsia="Times New Roman" w:hAnsi="Times New Roman" w:cs="Times New Roman"/>
        </w:rPr>
      </w:pPr>
      <w:r w:rsidRPr="00AB2FA7">
        <w:rPr>
          <w:rFonts w:ascii="Times New Roman" w:eastAsia="Times New Roman" w:hAnsi="Times New Roman" w:cs="Times New Roman"/>
        </w:rPr>
        <w:t xml:space="preserve">Laquintana, V., Asim, M.H., Lopedota, A., Cutrignelli, A., Lopalco, A., Franco, M., Bernkop-Schnürch, A., Denora, N., 2019b. </w:t>
      </w:r>
      <w:r w:rsidRPr="00BB66A8">
        <w:rPr>
          <w:rFonts w:ascii="Times New Roman" w:eastAsia="Times New Roman" w:hAnsi="Times New Roman" w:cs="Times New Roman"/>
        </w:rPr>
        <w:t>Thiolated hydroxypropyl-β-cyclodextrin as mucoadhesive excipient for oral delivery of budesonide in liquid paediatric formulation. International Journal of Pharmaceutics 572, 118820. https://doi.org/10.1016/j.ijpharm.2019.118820</w:t>
      </w:r>
    </w:p>
    <w:p w14:paraId="3D95A389" w14:textId="77777777" w:rsidR="00432BE0" w:rsidRPr="00BB66A8" w:rsidRDefault="00432BE0">
      <w:pPr>
        <w:autoSpaceDE w:val="0"/>
        <w:autoSpaceDN w:val="0"/>
        <w:ind w:hanging="480"/>
        <w:divId w:val="656344172"/>
        <w:rPr>
          <w:rFonts w:ascii="Times New Roman" w:eastAsia="Times New Roman" w:hAnsi="Times New Roman" w:cs="Times New Roman"/>
        </w:rPr>
      </w:pPr>
      <w:r w:rsidRPr="00BB66A8">
        <w:rPr>
          <w:rFonts w:ascii="Times New Roman" w:eastAsia="Times New Roman" w:hAnsi="Times New Roman" w:cs="Times New Roman"/>
        </w:rPr>
        <w:t>Letmanski, T., Kodym, A., Weber, P., Lewandowski, M., Wisniewski, A., Baj, T., 2015. Eudragit FS 30D as a potential polymer for use in the technology of preparing matrix tablets contain metronidazole - An experimental and mathematical modeling study. Current Issues in Pharmacy and Medical Sciences 28, 97–104. https://doi.org/10.1515/cipms-2015-0053</w:t>
      </w:r>
    </w:p>
    <w:p w14:paraId="30AF89A0" w14:textId="77777777" w:rsidR="00432BE0" w:rsidRPr="00BB66A8" w:rsidRDefault="00432BE0">
      <w:pPr>
        <w:autoSpaceDE w:val="0"/>
        <w:autoSpaceDN w:val="0"/>
        <w:ind w:hanging="480"/>
        <w:divId w:val="883951887"/>
        <w:rPr>
          <w:rFonts w:ascii="Times New Roman" w:eastAsia="Times New Roman" w:hAnsi="Times New Roman" w:cs="Times New Roman"/>
          <w:lang w:val="it-IT"/>
        </w:rPr>
      </w:pPr>
      <w:r w:rsidRPr="00BB66A8">
        <w:rPr>
          <w:rFonts w:ascii="Times New Roman" w:eastAsia="Times New Roman" w:hAnsi="Times New Roman" w:cs="Times New Roman"/>
        </w:rPr>
        <w:t xml:space="preserve">Liao, Q., Lam, I.C.H., Lin, H.H.S., Wan, L.T.L., Lo, J.C.K., Tai, W., Kwok, P.C.L., Lam, J.K.W., 2020. Effect of formulation and inhaler parameters on the dispersion of spray freeze dried voriconazole particles. </w:t>
      </w:r>
      <w:r w:rsidRPr="00BB66A8">
        <w:rPr>
          <w:rFonts w:ascii="Times New Roman" w:eastAsia="Times New Roman" w:hAnsi="Times New Roman" w:cs="Times New Roman"/>
          <w:lang w:val="it-IT"/>
        </w:rPr>
        <w:t>International Journal of Pharmaceutics 584. https://doi.org/10.1016/j.ijpharm.2020.119444</w:t>
      </w:r>
    </w:p>
    <w:p w14:paraId="593F8435" w14:textId="77777777" w:rsidR="00432BE0" w:rsidRPr="00BB66A8" w:rsidRDefault="00432BE0">
      <w:pPr>
        <w:autoSpaceDE w:val="0"/>
        <w:autoSpaceDN w:val="0"/>
        <w:ind w:hanging="480"/>
        <w:divId w:val="441994090"/>
        <w:rPr>
          <w:rFonts w:ascii="Times New Roman" w:eastAsia="Times New Roman" w:hAnsi="Times New Roman" w:cs="Times New Roman"/>
        </w:rPr>
      </w:pPr>
      <w:r w:rsidRPr="00BB66A8">
        <w:rPr>
          <w:rFonts w:ascii="Times New Roman" w:eastAsia="Times New Roman" w:hAnsi="Times New Roman" w:cs="Times New Roman"/>
          <w:lang w:val="it-IT"/>
        </w:rPr>
        <w:t xml:space="preserve">Licari, A., Votto, M., D’Auria, E., Castagnoli, R., Caimmi, S.M.E., Marseglia, G.L., 2019. </w:t>
      </w:r>
      <w:r w:rsidRPr="00BB66A8">
        <w:rPr>
          <w:rFonts w:ascii="Times New Roman" w:eastAsia="Times New Roman" w:hAnsi="Times New Roman" w:cs="Times New Roman"/>
        </w:rPr>
        <w:t>Eosinophilic Gastrointestinal Diseases in Children: A Practical Review. Current Pediatric Reviews 16, 106–114. https://doi.org/10.2174/1573396315666191022154432</w:t>
      </w:r>
    </w:p>
    <w:p w14:paraId="74BFD139" w14:textId="77777777" w:rsidR="00432BE0" w:rsidRPr="00BB66A8" w:rsidRDefault="00432BE0">
      <w:pPr>
        <w:autoSpaceDE w:val="0"/>
        <w:autoSpaceDN w:val="0"/>
        <w:ind w:hanging="480"/>
        <w:divId w:val="1276015007"/>
        <w:rPr>
          <w:rFonts w:ascii="Times New Roman" w:eastAsia="Times New Roman" w:hAnsi="Times New Roman" w:cs="Times New Roman"/>
        </w:rPr>
      </w:pPr>
      <w:r w:rsidRPr="00BB66A8">
        <w:rPr>
          <w:rFonts w:ascii="Times New Roman" w:eastAsia="Times New Roman" w:hAnsi="Times New Roman" w:cs="Times New Roman"/>
          <w:lang w:val="it-IT"/>
        </w:rPr>
        <w:t xml:space="preserve">Lima, A.L., Pinho, L.A.G., Chaker, J.A., Sa-Barreto, L.L., Marreto, R.N., Gratieri, T., Gelfuso, G.M., Cunha-Filho, M., 2020. </w:t>
      </w:r>
      <w:r w:rsidRPr="00BB66A8">
        <w:rPr>
          <w:rFonts w:ascii="Times New Roman" w:eastAsia="Times New Roman" w:hAnsi="Times New Roman" w:cs="Times New Roman"/>
        </w:rPr>
        <w:t>Hot-melt extrusion as an advantageous technology to obtain effervescent drug products. Pharmaceutics 12, 1–20. https://doi.org/10.3390/pharmaceutics12080779</w:t>
      </w:r>
    </w:p>
    <w:p w14:paraId="7DCA6E17" w14:textId="77777777" w:rsidR="00432BE0" w:rsidRPr="00BB66A8" w:rsidRDefault="00432BE0">
      <w:pPr>
        <w:autoSpaceDE w:val="0"/>
        <w:autoSpaceDN w:val="0"/>
        <w:ind w:hanging="480"/>
        <w:divId w:val="2050106107"/>
        <w:rPr>
          <w:rFonts w:ascii="Times New Roman" w:eastAsia="Times New Roman" w:hAnsi="Times New Roman" w:cs="Times New Roman"/>
        </w:rPr>
      </w:pPr>
      <w:r w:rsidRPr="00BB66A8">
        <w:rPr>
          <w:rFonts w:ascii="Times New Roman" w:eastAsia="Times New Roman" w:hAnsi="Times New Roman" w:cs="Times New Roman"/>
        </w:rPr>
        <w:t>Liu, S., Yu, J., Zou, J., Yang, Y., Cui, L., Chang, X., 2020. Effects of different drying and milling methods on the physicochemical properties and phenolic content of hawthorn fruit powders. Journal of Food Processing and Preservation 44. https://doi.org/10.1111/jfpp.14460</w:t>
      </w:r>
    </w:p>
    <w:p w14:paraId="59EE6842" w14:textId="77777777" w:rsidR="00432BE0" w:rsidRPr="00BB66A8" w:rsidRDefault="00432BE0">
      <w:pPr>
        <w:autoSpaceDE w:val="0"/>
        <w:autoSpaceDN w:val="0"/>
        <w:ind w:hanging="480"/>
        <w:divId w:val="1997487330"/>
        <w:rPr>
          <w:rFonts w:ascii="Times New Roman" w:eastAsia="Times New Roman" w:hAnsi="Times New Roman" w:cs="Times New Roman"/>
        </w:rPr>
      </w:pPr>
      <w:r w:rsidRPr="00BB66A8">
        <w:rPr>
          <w:rFonts w:ascii="Times New Roman" w:eastAsia="Times New Roman" w:hAnsi="Times New Roman" w:cs="Times New Roman"/>
        </w:rPr>
        <w:lastRenderedPageBreak/>
        <w:t>Loftsson, T., Másson, M., Sigurjónsdóttir, J.F., 1999. Methods to enhance the complexation efficiency of cyclodextrins. S.T.P. Pharma Sciences 9, 237–242.</w:t>
      </w:r>
    </w:p>
    <w:p w14:paraId="2A228837" w14:textId="77777777" w:rsidR="00432BE0" w:rsidRPr="00BB66A8" w:rsidRDefault="00432BE0">
      <w:pPr>
        <w:autoSpaceDE w:val="0"/>
        <w:autoSpaceDN w:val="0"/>
        <w:ind w:hanging="480"/>
        <w:divId w:val="896621764"/>
        <w:rPr>
          <w:rFonts w:ascii="Times New Roman" w:eastAsia="Times New Roman" w:hAnsi="Times New Roman" w:cs="Times New Roman"/>
        </w:rPr>
      </w:pPr>
      <w:r w:rsidRPr="00BB66A8">
        <w:rPr>
          <w:rFonts w:ascii="Times New Roman" w:eastAsia="Times New Roman" w:hAnsi="Times New Roman" w:cs="Times New Roman"/>
        </w:rPr>
        <w:t>Londhe, V.Y., Pawar, A., Kundaikar, H., 2020. Studies on spectral characterization and solubility of hydroxypropyl β-cyclodextrin/iloperidone binary and ternary complexes using different auxiliary agents. Journal of Molecular Structure 1220. https://doi.org/10.1016/j.molstruc.2020.128615</w:t>
      </w:r>
    </w:p>
    <w:p w14:paraId="09D07076" w14:textId="77777777" w:rsidR="00432BE0" w:rsidRPr="00BB66A8" w:rsidRDefault="00432BE0">
      <w:pPr>
        <w:autoSpaceDE w:val="0"/>
        <w:autoSpaceDN w:val="0"/>
        <w:ind w:hanging="480"/>
        <w:divId w:val="1890069165"/>
        <w:rPr>
          <w:rFonts w:ascii="Times New Roman" w:eastAsia="Times New Roman" w:hAnsi="Times New Roman" w:cs="Times New Roman"/>
          <w:lang w:val="it-IT"/>
        </w:rPr>
      </w:pPr>
      <w:r w:rsidRPr="00BB66A8">
        <w:rPr>
          <w:rFonts w:ascii="Times New Roman" w:eastAsia="Times New Roman" w:hAnsi="Times New Roman" w:cs="Times New Roman"/>
        </w:rPr>
        <w:t xml:space="preserve">Lozinsky, A.C., Morais, M.B. De, 2014. </w:t>
      </w:r>
      <w:r w:rsidRPr="00BB66A8">
        <w:rPr>
          <w:rFonts w:ascii="Times New Roman" w:eastAsia="Times New Roman" w:hAnsi="Times New Roman" w:cs="Times New Roman"/>
          <w:lang w:val="it-IT"/>
        </w:rPr>
        <w:t>Eosinophilic colitis in infants. Jornal de Pediatria 90, 16–21. https://doi.org/10.1016/j.jped.2013.03.024</w:t>
      </w:r>
    </w:p>
    <w:p w14:paraId="1C77277A" w14:textId="77777777" w:rsidR="00432BE0" w:rsidRPr="00BB66A8" w:rsidRDefault="00432BE0">
      <w:pPr>
        <w:autoSpaceDE w:val="0"/>
        <w:autoSpaceDN w:val="0"/>
        <w:ind w:hanging="480"/>
        <w:divId w:val="1407799548"/>
        <w:rPr>
          <w:rFonts w:ascii="Times New Roman" w:eastAsia="Times New Roman" w:hAnsi="Times New Roman" w:cs="Times New Roman"/>
        </w:rPr>
      </w:pPr>
      <w:r w:rsidRPr="00BB66A8">
        <w:rPr>
          <w:rFonts w:ascii="Times New Roman" w:eastAsia="Times New Roman" w:hAnsi="Times New Roman" w:cs="Times New Roman"/>
          <w:lang w:val="it-IT"/>
        </w:rPr>
        <w:t xml:space="preserve">Lucendo, A.J., Serrano-Montalbán, B., Arias, Á., Redondo, O., Tenias, J.M., 2015. </w:t>
      </w:r>
      <w:r w:rsidRPr="00BB66A8">
        <w:rPr>
          <w:rFonts w:ascii="Times New Roman" w:eastAsia="Times New Roman" w:hAnsi="Times New Roman" w:cs="Times New Roman"/>
        </w:rPr>
        <w:t>Efficacy of Dietary Treatment for Inducing Disease Remission in Eosinophilic Gastroenteritis. Journal of Pediatric Gastroenterology and Nutrition 61, 56–64. https://doi.org/10.1097/MPG.0000000000000766</w:t>
      </w:r>
    </w:p>
    <w:p w14:paraId="2232272C" w14:textId="77777777" w:rsidR="00432BE0" w:rsidRPr="00BB66A8" w:rsidRDefault="00432BE0">
      <w:pPr>
        <w:autoSpaceDE w:val="0"/>
        <w:autoSpaceDN w:val="0"/>
        <w:ind w:hanging="480"/>
        <w:divId w:val="2019038463"/>
        <w:rPr>
          <w:rFonts w:ascii="Times New Roman" w:eastAsia="Times New Roman" w:hAnsi="Times New Roman" w:cs="Times New Roman"/>
        </w:rPr>
      </w:pPr>
      <w:r w:rsidRPr="00BB66A8">
        <w:rPr>
          <w:rFonts w:ascii="Times New Roman" w:eastAsia="Times New Roman" w:hAnsi="Times New Roman" w:cs="Times New Roman"/>
        </w:rPr>
        <w:t>Maejima, T., McGinity, J.W., 2001. Influence of film additives on stabilizing drug release rates from pellets coated with acrylic polymers. Pharmaceutical Development and Technology 6, 211–221. https://doi.org/10.1081/PDT-100002197</w:t>
      </w:r>
    </w:p>
    <w:p w14:paraId="79159122" w14:textId="77777777" w:rsidR="00432BE0" w:rsidRPr="00BB66A8" w:rsidRDefault="00432BE0">
      <w:pPr>
        <w:autoSpaceDE w:val="0"/>
        <w:autoSpaceDN w:val="0"/>
        <w:ind w:hanging="480"/>
        <w:divId w:val="206845153"/>
        <w:rPr>
          <w:rFonts w:ascii="Times New Roman" w:eastAsia="Times New Roman" w:hAnsi="Times New Roman" w:cs="Times New Roman"/>
        </w:rPr>
      </w:pPr>
      <w:r w:rsidRPr="00BB66A8">
        <w:rPr>
          <w:rFonts w:ascii="Times New Roman" w:eastAsia="Times New Roman" w:hAnsi="Times New Roman" w:cs="Times New Roman"/>
        </w:rPr>
        <w:t>Magro, F., Cordeiro, G., Dias, A.M., Estevinho, M.M., 2020. Inflammatory Bowel Disease – Non-biological treatment. Pharmacological Research 160. https://doi.org/10.1016/j.phrs.2020.105075</w:t>
      </w:r>
    </w:p>
    <w:p w14:paraId="4B6DB080" w14:textId="77777777" w:rsidR="00432BE0" w:rsidRPr="00BB66A8" w:rsidRDefault="00432BE0">
      <w:pPr>
        <w:autoSpaceDE w:val="0"/>
        <w:autoSpaceDN w:val="0"/>
        <w:ind w:hanging="480"/>
        <w:divId w:val="809128898"/>
        <w:rPr>
          <w:rFonts w:ascii="Times New Roman" w:eastAsia="Times New Roman" w:hAnsi="Times New Roman" w:cs="Times New Roman"/>
        </w:rPr>
      </w:pPr>
      <w:r w:rsidRPr="00BB66A8">
        <w:rPr>
          <w:rFonts w:ascii="Times New Roman" w:eastAsia="Times New Roman" w:hAnsi="Times New Roman" w:cs="Times New Roman"/>
        </w:rPr>
        <w:t>Malaquias, L.F.B., Sá-Barreto, L.C.L., Freire, D.O., Silva, I.C.R., Karan, K., Durig, T., Lima, E.M., Marreto, R.N., Gelfuso, G.M., Gratieri, T., Cunha-Filho, M., 2018. Taste masking and rheology improvement of drug complexed with beta-cyclodextrin and hydroxypropyl-β-cyclodextrin by hot-melt extrusion. Carbohydrate Polymers 185, 19–26. https://doi.org/10.1016/j.carbpol.2018.01.011</w:t>
      </w:r>
    </w:p>
    <w:p w14:paraId="4A18EEBF" w14:textId="77777777" w:rsidR="00432BE0" w:rsidRPr="00BB66A8" w:rsidRDefault="00432BE0">
      <w:pPr>
        <w:autoSpaceDE w:val="0"/>
        <w:autoSpaceDN w:val="0"/>
        <w:ind w:hanging="480"/>
        <w:divId w:val="1721518601"/>
        <w:rPr>
          <w:rFonts w:ascii="Times New Roman" w:eastAsia="Times New Roman" w:hAnsi="Times New Roman" w:cs="Times New Roman"/>
        </w:rPr>
      </w:pPr>
      <w:r w:rsidRPr="00BB66A8">
        <w:rPr>
          <w:rFonts w:ascii="Times New Roman" w:eastAsia="Times New Roman" w:hAnsi="Times New Roman" w:cs="Times New Roman"/>
        </w:rPr>
        <w:t>Mali, A.J., Pawar, A.P., Purohit, R.N., 2014. Development of Budesonide Loaded Biopolymer Based Dry Powder Inhaler: Optimization, In Vitro Deposition, and Cytotoxicity Study . Journal of Pharmaceutics 2014, 1–12. https://doi.org/10.1155/2014/795371</w:t>
      </w:r>
    </w:p>
    <w:p w14:paraId="398C03D5" w14:textId="77777777" w:rsidR="00432BE0" w:rsidRPr="00BB66A8" w:rsidRDefault="00432BE0">
      <w:pPr>
        <w:autoSpaceDE w:val="0"/>
        <w:autoSpaceDN w:val="0"/>
        <w:ind w:hanging="480"/>
        <w:divId w:val="1504202491"/>
        <w:rPr>
          <w:rFonts w:ascii="Times New Roman" w:eastAsia="Times New Roman" w:hAnsi="Times New Roman" w:cs="Times New Roman"/>
        </w:rPr>
      </w:pPr>
      <w:r w:rsidRPr="00BB66A8">
        <w:rPr>
          <w:rFonts w:ascii="Times New Roman" w:eastAsia="Times New Roman" w:hAnsi="Times New Roman" w:cs="Times New Roman"/>
        </w:rPr>
        <w:t>Maroni, A., Zema, L., Cerea, M., Foppoli, A., Palugan, L., Gazzaniga, A., 2016. Erodible drug delivery systems for time-controlled release into the gastrointestinal tract. Journal of Drug Delivery Science and Technology 32, 229–235. https://doi.org/10.1016/j.jddst.2015.10.001</w:t>
      </w:r>
    </w:p>
    <w:p w14:paraId="4B7BD22D" w14:textId="77777777" w:rsidR="00432BE0" w:rsidRPr="00BB66A8" w:rsidRDefault="00432BE0">
      <w:pPr>
        <w:autoSpaceDE w:val="0"/>
        <w:autoSpaceDN w:val="0"/>
        <w:ind w:hanging="480"/>
        <w:divId w:val="314651768"/>
        <w:rPr>
          <w:rFonts w:ascii="Times New Roman" w:eastAsia="Times New Roman" w:hAnsi="Times New Roman" w:cs="Times New Roman"/>
        </w:rPr>
      </w:pPr>
      <w:r w:rsidRPr="00BB66A8">
        <w:rPr>
          <w:rFonts w:ascii="Times New Roman" w:eastAsia="Times New Roman" w:hAnsi="Times New Roman" w:cs="Times New Roman"/>
        </w:rPr>
        <w:t>Medarević, D., Kachrimanis, K., Djurić, Z., Ibrić, S., 2015. Influence of hydrophilic polymers on the complexation of carbamazepine with hydroxypropyl-β-cyclodextrin. European Journal of Pharmaceutical Sciences 78, 273–285. https://doi.org/10.1016/j.ejps.2015.08.001</w:t>
      </w:r>
    </w:p>
    <w:p w14:paraId="683AF358" w14:textId="77777777" w:rsidR="00432BE0" w:rsidRPr="00BB66A8" w:rsidRDefault="00432BE0">
      <w:pPr>
        <w:autoSpaceDE w:val="0"/>
        <w:autoSpaceDN w:val="0"/>
        <w:ind w:hanging="480"/>
        <w:divId w:val="1766682451"/>
        <w:rPr>
          <w:rFonts w:ascii="Times New Roman" w:eastAsia="Times New Roman" w:hAnsi="Times New Roman" w:cs="Times New Roman"/>
        </w:rPr>
      </w:pPr>
      <w:r w:rsidRPr="00BB66A8">
        <w:rPr>
          <w:rFonts w:ascii="Times New Roman" w:eastAsia="Times New Roman" w:hAnsi="Times New Roman" w:cs="Times New Roman"/>
        </w:rPr>
        <w:t>Melton, G.B., Gaertner, W.B., MacDonald, J.E., Kwaan, M.R., Shepela, C., Madoff, R., Jessurun, J., 2011. Eosinophilic colitis: University of Minnesota experience and literature review. Gastroenterology Research and Practice 2011. https://doi.org/10.1155/2011/857508</w:t>
      </w:r>
    </w:p>
    <w:p w14:paraId="38965F7F" w14:textId="77777777" w:rsidR="00432BE0" w:rsidRPr="00BB66A8" w:rsidRDefault="00432BE0">
      <w:pPr>
        <w:autoSpaceDE w:val="0"/>
        <w:autoSpaceDN w:val="0"/>
        <w:ind w:hanging="480"/>
        <w:divId w:val="1968975615"/>
        <w:rPr>
          <w:rFonts w:ascii="Times New Roman" w:eastAsia="Times New Roman" w:hAnsi="Times New Roman" w:cs="Times New Roman"/>
        </w:rPr>
      </w:pPr>
      <w:r w:rsidRPr="00BB66A8">
        <w:rPr>
          <w:rFonts w:ascii="Times New Roman" w:eastAsia="Times New Roman" w:hAnsi="Times New Roman" w:cs="Times New Roman"/>
        </w:rPr>
        <w:t>Michailidou, G., Papageorgiou, G.Z., Bikiaris, D.N., 2021. β-Cyclodextrin Inclusion Complexes of Budesonide with Enhanced Bioavailability for COPD Treatment. Applied Sciences (Switzerland) 11. https://doi.org/10.3390/app112412085</w:t>
      </w:r>
    </w:p>
    <w:p w14:paraId="7BDA4D85" w14:textId="77777777" w:rsidR="00432BE0" w:rsidRPr="00BB66A8" w:rsidRDefault="00432BE0">
      <w:pPr>
        <w:autoSpaceDE w:val="0"/>
        <w:autoSpaceDN w:val="0"/>
        <w:ind w:hanging="480"/>
        <w:divId w:val="2022270320"/>
        <w:rPr>
          <w:rFonts w:ascii="Times New Roman" w:eastAsia="Times New Roman" w:hAnsi="Times New Roman" w:cs="Times New Roman"/>
        </w:rPr>
      </w:pPr>
      <w:r w:rsidRPr="00BB66A8">
        <w:rPr>
          <w:rFonts w:ascii="Times New Roman" w:eastAsia="Times New Roman" w:hAnsi="Times New Roman" w:cs="Times New Roman"/>
        </w:rPr>
        <w:t>Mirdamadian, S.Z., Varshosaz, J., Minaiyan, M., Taheri, A., 2022. 3D printed tablets containing oxaliplatin loaded alginate nanoparticles for colon cancer targeted delivery. An in vitro/in vivo study. International Journal of Biological Macromolecules 205, 90–109. https://doi.org/10.1016/j.ijbiomac.2022.02.080</w:t>
      </w:r>
    </w:p>
    <w:p w14:paraId="00DCE4FA" w14:textId="77777777" w:rsidR="00432BE0" w:rsidRPr="00BB66A8" w:rsidRDefault="00432BE0">
      <w:pPr>
        <w:autoSpaceDE w:val="0"/>
        <w:autoSpaceDN w:val="0"/>
        <w:ind w:hanging="480"/>
        <w:divId w:val="239338771"/>
        <w:rPr>
          <w:rFonts w:ascii="Times New Roman" w:eastAsia="Times New Roman" w:hAnsi="Times New Roman" w:cs="Times New Roman"/>
        </w:rPr>
      </w:pPr>
      <w:r w:rsidRPr="00BB66A8">
        <w:rPr>
          <w:rFonts w:ascii="Times New Roman" w:eastAsia="Times New Roman" w:hAnsi="Times New Roman" w:cs="Times New Roman"/>
        </w:rPr>
        <w:t>Moghimipour, E., Rezaei, M., Kouchak, M., Fatahiasl, J., Angali, K.A., Ramezani, Z., Amini, M., Dorkoosh, F.A., Handali, S., 2018. Effects of coating layer and release medium on release profile from coated capsules with Eudragit FS 30D: an in vitro and in vivo study. Drug Development and Industrial Pharmacy 44, 861–867. https://doi.org/10.1080/03639045.2017.1415927</w:t>
      </w:r>
    </w:p>
    <w:p w14:paraId="3548EF76" w14:textId="129F4BBE" w:rsidR="00432BE0" w:rsidRPr="00BB66A8" w:rsidRDefault="00432BE0">
      <w:pPr>
        <w:autoSpaceDE w:val="0"/>
        <w:autoSpaceDN w:val="0"/>
        <w:ind w:hanging="480"/>
        <w:divId w:val="833765633"/>
        <w:rPr>
          <w:rFonts w:ascii="Times New Roman" w:eastAsia="Times New Roman" w:hAnsi="Times New Roman" w:cs="Times New Roman"/>
        </w:rPr>
      </w:pPr>
      <w:r w:rsidRPr="00BB66A8">
        <w:rPr>
          <w:rFonts w:ascii="Times New Roman" w:eastAsia="Times New Roman" w:hAnsi="Times New Roman" w:cs="Times New Roman"/>
        </w:rPr>
        <w:t xml:space="preserve">Ozdemir, N., Pola, C.C., Teixeira, B.N., Hill, L.E., Bayrak, A., Gomes, C.L., 2018. Preparation of black pepper oleoresin inclusion complexes based on beta-cyclodextrin for antioxidant and antimicrobial delivery applications using kneading and </w:t>
      </w:r>
      <w:r w:rsidR="00891927" w:rsidRPr="00BB66A8">
        <w:rPr>
          <w:rFonts w:ascii="Times New Roman" w:eastAsia="Times New Roman" w:hAnsi="Times New Roman" w:cs="Times New Roman"/>
        </w:rPr>
        <w:t>freeze-drying</w:t>
      </w:r>
      <w:r w:rsidRPr="00BB66A8">
        <w:rPr>
          <w:rFonts w:ascii="Times New Roman" w:eastAsia="Times New Roman" w:hAnsi="Times New Roman" w:cs="Times New Roman"/>
        </w:rPr>
        <w:t xml:space="preserve"> methods: A comparative study. LWT - Food Science and Technology 91, 439–445. https://doi.org/10.1016/j.lwt.2018.01.046</w:t>
      </w:r>
    </w:p>
    <w:p w14:paraId="4A1754E3" w14:textId="77777777" w:rsidR="00432BE0" w:rsidRPr="00BB66A8" w:rsidRDefault="00432BE0">
      <w:pPr>
        <w:autoSpaceDE w:val="0"/>
        <w:autoSpaceDN w:val="0"/>
        <w:ind w:hanging="480"/>
        <w:divId w:val="1601448608"/>
        <w:rPr>
          <w:rFonts w:ascii="Times New Roman" w:eastAsia="Times New Roman" w:hAnsi="Times New Roman" w:cs="Times New Roman"/>
        </w:rPr>
      </w:pPr>
      <w:r w:rsidRPr="00BB66A8">
        <w:rPr>
          <w:rFonts w:ascii="Times New Roman" w:eastAsia="Times New Roman" w:hAnsi="Times New Roman" w:cs="Times New Roman"/>
        </w:rPr>
        <w:lastRenderedPageBreak/>
        <w:t>Page, S., Maurer, R., Wyttenbach, N., 2016. Structured development approach for amorphous systems. AAPS Advances in the Pharmaceutical Sciences Series 22, 329–382. https://doi.org/10.1007/978-3-319-42609-9_8</w:t>
      </w:r>
    </w:p>
    <w:p w14:paraId="7C2077B1" w14:textId="77777777" w:rsidR="00432BE0" w:rsidRPr="00BB66A8" w:rsidRDefault="00432BE0">
      <w:pPr>
        <w:autoSpaceDE w:val="0"/>
        <w:autoSpaceDN w:val="0"/>
        <w:ind w:hanging="480"/>
        <w:divId w:val="1198011352"/>
        <w:rPr>
          <w:rFonts w:ascii="Times New Roman" w:eastAsia="Times New Roman" w:hAnsi="Times New Roman" w:cs="Times New Roman"/>
        </w:rPr>
      </w:pPr>
      <w:r w:rsidRPr="00BB66A8">
        <w:rPr>
          <w:rFonts w:ascii="Times New Roman" w:eastAsia="Times New Roman" w:hAnsi="Times New Roman" w:cs="Times New Roman"/>
          <w:lang w:val="it-IT"/>
        </w:rPr>
        <w:t xml:space="preserve">Palugan, L., Filippin, I., Cirilli, M., Moutaharrik, S., Zema, L., Cerea, M., Maroni, A., Foppoli, A., Gazzaniga, A., 2021. </w:t>
      </w:r>
      <w:r w:rsidRPr="00BB66A8">
        <w:rPr>
          <w:rFonts w:ascii="Times New Roman" w:eastAsia="Times New Roman" w:hAnsi="Times New Roman" w:cs="Times New Roman"/>
        </w:rPr>
        <w:t>Cellulase as an “active” excipient in prolonged-release HPMC matrices: A novel strategy towards zero-order release kinetics. International Journal of Pharmaceutics 607, 121005. https://doi.org/10.1016/j.ijpharm.2021.121005</w:t>
      </w:r>
    </w:p>
    <w:p w14:paraId="049CC720" w14:textId="77777777" w:rsidR="00432BE0" w:rsidRPr="00BB66A8" w:rsidRDefault="00432BE0">
      <w:pPr>
        <w:autoSpaceDE w:val="0"/>
        <w:autoSpaceDN w:val="0"/>
        <w:ind w:hanging="480"/>
        <w:divId w:val="1954050953"/>
        <w:rPr>
          <w:rFonts w:ascii="Times New Roman" w:eastAsia="Times New Roman" w:hAnsi="Times New Roman" w:cs="Times New Roman"/>
        </w:rPr>
      </w:pPr>
      <w:r w:rsidRPr="00BB66A8">
        <w:rPr>
          <w:rFonts w:ascii="Times New Roman" w:eastAsia="Times New Roman" w:hAnsi="Times New Roman" w:cs="Times New Roman"/>
        </w:rPr>
        <w:t>Patel, A.R., Vavia, P.R., 2008. Preparation and evaluation of taste masked famotidine formulation using drug/β-cyclodextrin/polymer ternary complexation approach. AAPS PharmSciTech 9, 544–550. https://doi.org/10.1208/s12249-008-9078-0</w:t>
      </w:r>
    </w:p>
    <w:p w14:paraId="0D8FD9FD" w14:textId="77777777" w:rsidR="00432BE0" w:rsidRPr="00BB66A8" w:rsidRDefault="00432BE0">
      <w:pPr>
        <w:autoSpaceDE w:val="0"/>
        <w:autoSpaceDN w:val="0"/>
        <w:ind w:hanging="480"/>
        <w:divId w:val="1935504606"/>
        <w:rPr>
          <w:rFonts w:ascii="Times New Roman" w:eastAsia="Times New Roman" w:hAnsi="Times New Roman" w:cs="Times New Roman"/>
        </w:rPr>
      </w:pPr>
      <w:r w:rsidRPr="00BB66A8">
        <w:rPr>
          <w:rFonts w:ascii="Times New Roman" w:eastAsia="Times New Roman" w:hAnsi="Times New Roman" w:cs="Times New Roman"/>
        </w:rPr>
        <w:t>Pereira, M.N., Schulte, H.L., Duarte, N., Lima, E.M., Sá-Barreto, L.L., Gratieri, T., Gelfuso, G.M., Cunha-Filho, M.S.S., 2017. Solid effervescent formulations as new approach for topical minoxidil delivery. European Journal of Pharmaceutical Sciences 96, 411–419. https://doi.org/10.1016/j.ejps.2016.10.016</w:t>
      </w:r>
    </w:p>
    <w:p w14:paraId="62AA7DB3" w14:textId="77777777" w:rsidR="00432BE0" w:rsidRPr="00BB66A8" w:rsidRDefault="00432BE0">
      <w:pPr>
        <w:autoSpaceDE w:val="0"/>
        <w:autoSpaceDN w:val="0"/>
        <w:ind w:hanging="480"/>
        <w:divId w:val="339087202"/>
        <w:rPr>
          <w:rFonts w:ascii="Times New Roman" w:eastAsia="Times New Roman" w:hAnsi="Times New Roman" w:cs="Times New Roman"/>
        </w:rPr>
      </w:pPr>
      <w:r w:rsidRPr="00BB66A8">
        <w:rPr>
          <w:rFonts w:ascii="Times New Roman" w:eastAsia="Times New Roman" w:hAnsi="Times New Roman" w:cs="Times New Roman"/>
          <w:lang w:val="it-IT"/>
        </w:rPr>
        <w:t xml:space="preserve">Pistone, M., Racaniello, G.F., Arduino, I., Laquintana, V., Lopalco, A., Cutrignelli, A., Rizzi, R., Franco, M., Lopedota, A., Denora, N., 2022. </w:t>
      </w:r>
      <w:r w:rsidRPr="00BB66A8">
        <w:rPr>
          <w:rFonts w:ascii="Times New Roman" w:eastAsia="Times New Roman" w:hAnsi="Times New Roman" w:cs="Times New Roman"/>
        </w:rPr>
        <w:t>Direct cyclodextrin-based powder extrusion 3D printing for one-step production of the BCS class II model drug niclosamide. Drug Delivery and Translational Research. https://doi.org/10.1007/s13346-022-01124-7</w:t>
      </w:r>
    </w:p>
    <w:p w14:paraId="41A51E1C" w14:textId="77777777" w:rsidR="00432BE0" w:rsidRPr="00BB66A8" w:rsidRDefault="00432BE0">
      <w:pPr>
        <w:autoSpaceDE w:val="0"/>
        <w:autoSpaceDN w:val="0"/>
        <w:ind w:hanging="480"/>
        <w:divId w:val="853499666"/>
        <w:rPr>
          <w:rFonts w:ascii="Times New Roman" w:eastAsia="Times New Roman" w:hAnsi="Times New Roman" w:cs="Times New Roman"/>
        </w:rPr>
      </w:pPr>
      <w:r w:rsidRPr="00BB66A8">
        <w:rPr>
          <w:rFonts w:ascii="Times New Roman" w:eastAsia="Times New Roman" w:hAnsi="Times New Roman" w:cs="Times New Roman"/>
        </w:rPr>
        <w:t>Poller, B., Strachan, C., Broadbent, R., Walker, G.F., 2017. A minitablet formulation made from electrospun nanofibers. European Journal of Pharmaceutics and Biopharmaceutics 114, 213–220. https://doi.org/10.1016/j.ejpb.2017.01.022</w:t>
      </w:r>
    </w:p>
    <w:p w14:paraId="7680E917" w14:textId="77777777" w:rsidR="00432BE0" w:rsidRPr="00BB66A8" w:rsidRDefault="00432BE0">
      <w:pPr>
        <w:autoSpaceDE w:val="0"/>
        <w:autoSpaceDN w:val="0"/>
        <w:ind w:hanging="480"/>
        <w:divId w:val="1590120601"/>
        <w:rPr>
          <w:rFonts w:ascii="Times New Roman" w:eastAsia="Times New Roman" w:hAnsi="Times New Roman" w:cs="Times New Roman"/>
        </w:rPr>
      </w:pPr>
      <w:r w:rsidRPr="00BB66A8">
        <w:rPr>
          <w:rFonts w:ascii="Times New Roman" w:eastAsia="Times New Roman" w:hAnsi="Times New Roman" w:cs="Times New Roman"/>
        </w:rPr>
        <w:t>Pose-Vilarnovo, B., Rodríguez-Tenreiro, C., Rosa Dos Santos, J.F., Vázquez-Doval, J., Concheiro, A., Alvarez-Lorenzo, C., Torres-Labandeira, J.J., 2004. Modulating drug release with cyclodextrins in hydroxypropyl methylcellulose gels and tablets. Journal of Controlled Release 94, 351–363. https://doi.org/10.1016/j.jconrel.2003.10.002</w:t>
      </w:r>
    </w:p>
    <w:p w14:paraId="4A7B1E27" w14:textId="77777777" w:rsidR="00432BE0" w:rsidRPr="00BB66A8" w:rsidRDefault="00432BE0">
      <w:pPr>
        <w:autoSpaceDE w:val="0"/>
        <w:autoSpaceDN w:val="0"/>
        <w:ind w:hanging="480"/>
        <w:divId w:val="359860244"/>
        <w:rPr>
          <w:rFonts w:ascii="Times New Roman" w:eastAsia="Times New Roman" w:hAnsi="Times New Roman" w:cs="Times New Roman"/>
        </w:rPr>
      </w:pPr>
      <w:r w:rsidRPr="00BB66A8">
        <w:rPr>
          <w:rFonts w:ascii="Times New Roman" w:eastAsia="Times New Roman" w:hAnsi="Times New Roman" w:cs="Times New Roman"/>
        </w:rPr>
        <w:t>Rabito, M.F., Reis, A.V., Reis Freitas, A. Dos, Tambourgi, E.B., Cavalcanti, O.A., 2012. A pH/enzyme-responsive polymer film consisting of Eudragit® FS 30 D and arabinoxylane as a potential material formulation for colon-specific drug delivery system. Pharmaceutical Development and Technology 17, 429–436. https://doi.org/10.3109/10837450.2010.546409</w:t>
      </w:r>
    </w:p>
    <w:p w14:paraId="70408F50" w14:textId="77777777" w:rsidR="00432BE0" w:rsidRPr="00BB66A8" w:rsidRDefault="00432BE0">
      <w:pPr>
        <w:autoSpaceDE w:val="0"/>
        <w:autoSpaceDN w:val="0"/>
        <w:ind w:hanging="480"/>
        <w:divId w:val="1666937617"/>
        <w:rPr>
          <w:rFonts w:ascii="Times New Roman" w:eastAsia="Times New Roman" w:hAnsi="Times New Roman" w:cs="Times New Roman"/>
        </w:rPr>
      </w:pPr>
      <w:r w:rsidRPr="00BB66A8">
        <w:rPr>
          <w:rFonts w:ascii="Times New Roman" w:eastAsia="Times New Roman" w:hAnsi="Times New Roman" w:cs="Times New Roman"/>
        </w:rPr>
        <w:t>Rakkaew, P., Suksiriworapong, J., Chantasart, D., 2018. β-Cyclodextrin-based ternary complexes of haloperidol and organic acids: the effect of organic acids on the drug solubility enhancement. Pharmaceutical Development and Technology 23, 715–722. https://doi.org/10.1080/10837450.2017.1344993</w:t>
      </w:r>
    </w:p>
    <w:p w14:paraId="77C6E566" w14:textId="7C539F8B" w:rsidR="00432BE0" w:rsidRPr="00BB66A8" w:rsidRDefault="00432BE0">
      <w:pPr>
        <w:autoSpaceDE w:val="0"/>
        <w:autoSpaceDN w:val="0"/>
        <w:ind w:hanging="480"/>
        <w:divId w:val="2131895326"/>
        <w:rPr>
          <w:rFonts w:ascii="Times New Roman" w:eastAsia="Times New Roman" w:hAnsi="Times New Roman" w:cs="Times New Roman"/>
        </w:rPr>
      </w:pPr>
      <w:r w:rsidRPr="00D35BB2">
        <w:rPr>
          <w:rFonts w:ascii="Times New Roman" w:eastAsia="Times New Roman" w:hAnsi="Times New Roman" w:cs="Times New Roman"/>
        </w:rPr>
        <w:t xml:space="preserve">Redenti, E., Szente, L., Szejtli, J., 2000. </w:t>
      </w:r>
      <w:r w:rsidRPr="00BB66A8">
        <w:rPr>
          <w:rFonts w:ascii="Times New Roman" w:eastAsia="Times New Roman" w:hAnsi="Times New Roman" w:cs="Times New Roman"/>
        </w:rPr>
        <w:t>Drug/cyclodextrin/hydroxy acid multicomponent systems. Properties and pharmaceutical applications. Journal of Pharmaceutical Sciences 89, 1–8. https://doi.org/10.1002/(SICI)1520-6017(200001)89:1&lt;</w:t>
      </w:r>
      <w:r w:rsidR="00891927" w:rsidRPr="00BB66A8">
        <w:rPr>
          <w:rFonts w:ascii="Times New Roman" w:eastAsia="Times New Roman" w:hAnsi="Times New Roman" w:cs="Times New Roman"/>
        </w:rPr>
        <w:t>1:</w:t>
      </w:r>
      <w:r w:rsidRPr="00BB66A8">
        <w:rPr>
          <w:rFonts w:ascii="Times New Roman" w:eastAsia="Times New Roman" w:hAnsi="Times New Roman" w:cs="Times New Roman"/>
        </w:rPr>
        <w:t>AID-JPS1&gt;3.0.CO;2-W</w:t>
      </w:r>
    </w:p>
    <w:p w14:paraId="245B6547" w14:textId="77777777" w:rsidR="00432BE0" w:rsidRPr="00BB66A8" w:rsidRDefault="00432BE0">
      <w:pPr>
        <w:autoSpaceDE w:val="0"/>
        <w:autoSpaceDN w:val="0"/>
        <w:ind w:hanging="480"/>
        <w:divId w:val="724765191"/>
        <w:rPr>
          <w:rFonts w:ascii="Times New Roman" w:eastAsia="Times New Roman" w:hAnsi="Times New Roman" w:cs="Times New Roman"/>
        </w:rPr>
      </w:pPr>
      <w:r w:rsidRPr="00BB66A8">
        <w:rPr>
          <w:rFonts w:ascii="Times New Roman" w:eastAsia="Times New Roman" w:hAnsi="Times New Roman" w:cs="Times New Roman"/>
        </w:rPr>
        <w:t>Ribeiro, L.S.S., Ferreira, D.C., Veiga, F.J.B., 2003. Physicochemical investigation of the effects of water-soluble polymers on vinpocetine complexation with β-cyclodextrin and its sulfobutyl ether derivative in solution and solid state. European Journal of Pharmaceutical Sciences 20, 253–266. https://doi.org/10.1016/S0928-0987(03)00199-4</w:t>
      </w:r>
    </w:p>
    <w:p w14:paraId="61492BEF" w14:textId="77777777" w:rsidR="00432BE0" w:rsidRPr="00BB66A8" w:rsidRDefault="00432BE0">
      <w:pPr>
        <w:autoSpaceDE w:val="0"/>
        <w:autoSpaceDN w:val="0"/>
        <w:ind w:hanging="480"/>
        <w:divId w:val="757675655"/>
        <w:rPr>
          <w:rFonts w:ascii="Times New Roman" w:eastAsia="Times New Roman" w:hAnsi="Times New Roman" w:cs="Times New Roman"/>
        </w:rPr>
      </w:pPr>
      <w:r w:rsidRPr="00BB66A8">
        <w:rPr>
          <w:rFonts w:ascii="Times New Roman" w:eastAsia="Times New Roman" w:hAnsi="Times New Roman" w:cs="Times New Roman"/>
        </w:rPr>
        <w:t>Sánchez-Guirales, S.A., Jurado, N., Kara, A., Lalatsa, A., Serrano, D.R., 2021. Understanding direct powder extrusion for fabrication of 3d printed personalised medicines: A case study for nifedipine minitablets. Pharmaceutics 13. https://doi.org/10.3390/pharmaceutics13101583</w:t>
      </w:r>
    </w:p>
    <w:p w14:paraId="4F27532E" w14:textId="77777777" w:rsidR="00432BE0" w:rsidRPr="00BB66A8" w:rsidRDefault="00432BE0">
      <w:pPr>
        <w:autoSpaceDE w:val="0"/>
        <w:autoSpaceDN w:val="0"/>
        <w:ind w:hanging="480"/>
        <w:divId w:val="1981034342"/>
        <w:rPr>
          <w:rFonts w:ascii="Times New Roman" w:eastAsia="Times New Roman" w:hAnsi="Times New Roman" w:cs="Times New Roman"/>
        </w:rPr>
      </w:pPr>
      <w:r w:rsidRPr="00BB66A8">
        <w:rPr>
          <w:rFonts w:ascii="Times New Roman" w:eastAsia="Times New Roman" w:hAnsi="Times New Roman" w:cs="Times New Roman"/>
        </w:rPr>
        <w:t>Santos Akkari, A.C., Ramos Campos, E.V., Keppler, A.F., Fraceto, L.F., de Paula, E., Tófoli, G.R., de Araujo, D.R., 2016. Budesonide-hydroxypropyl-β-cyclodextrin inclusion complex in binary poloxamer 407/403 system for ulcerative colitis treatment: A physico-chemical study from micelles to hydrogels. Colloids and Surfaces B: Biointerfaces 138, 138–147. https://doi.org/10.1016/j.colsurfb.2015.11.048</w:t>
      </w:r>
    </w:p>
    <w:p w14:paraId="32AEE002" w14:textId="77777777" w:rsidR="00432BE0" w:rsidRPr="00BB66A8" w:rsidRDefault="00432BE0">
      <w:pPr>
        <w:autoSpaceDE w:val="0"/>
        <w:autoSpaceDN w:val="0"/>
        <w:ind w:hanging="480"/>
        <w:divId w:val="62529888"/>
        <w:rPr>
          <w:rFonts w:ascii="Times New Roman" w:eastAsia="Times New Roman" w:hAnsi="Times New Roman" w:cs="Times New Roman"/>
        </w:rPr>
      </w:pPr>
      <w:r w:rsidRPr="00BB66A8">
        <w:rPr>
          <w:rFonts w:ascii="Times New Roman" w:eastAsia="Times New Roman" w:hAnsi="Times New Roman" w:cs="Times New Roman"/>
        </w:rPr>
        <w:lastRenderedPageBreak/>
        <w:t>Santos, E.H., Kamimura, J.A., Hill, L.E., Gomes, C.L., 2015. Characterization of carvacrol beta-cyclodextrin inclusion complexes as delivery systems for antibacterial and antioxidant applications. LWT - Food Science and Technology 60, 583–592. https://doi.org/10.1016/j.lwt.2014.08.046</w:t>
      </w:r>
    </w:p>
    <w:p w14:paraId="79D46D76" w14:textId="77777777" w:rsidR="00432BE0" w:rsidRPr="00BB66A8" w:rsidRDefault="00432BE0">
      <w:pPr>
        <w:autoSpaceDE w:val="0"/>
        <w:autoSpaceDN w:val="0"/>
        <w:ind w:hanging="480"/>
        <w:divId w:val="1877769577"/>
        <w:rPr>
          <w:rFonts w:ascii="Times New Roman" w:eastAsia="Times New Roman" w:hAnsi="Times New Roman" w:cs="Times New Roman"/>
        </w:rPr>
      </w:pPr>
      <w:r w:rsidRPr="00BB66A8">
        <w:rPr>
          <w:rFonts w:ascii="Times New Roman" w:eastAsia="Times New Roman" w:hAnsi="Times New Roman" w:cs="Times New Roman"/>
        </w:rPr>
        <w:t>Saokham, P., Burapapadh, K., Praphanwittaya, P., Loftsson, T., 2020. Characterization and evaluation of ternary complexes of ascorbic acid with γ-cyclodextrin and poly(Vinyl alcohol). International Journal of Molecular Sciences 21, 1–14. https://doi.org/10.3390/ijms21124399</w:t>
      </w:r>
    </w:p>
    <w:p w14:paraId="657845AB" w14:textId="77777777" w:rsidR="00432BE0" w:rsidRPr="00BB66A8" w:rsidRDefault="00432BE0">
      <w:pPr>
        <w:autoSpaceDE w:val="0"/>
        <w:autoSpaceDN w:val="0"/>
        <w:ind w:hanging="480"/>
        <w:divId w:val="1565409248"/>
        <w:rPr>
          <w:rFonts w:ascii="Times New Roman" w:eastAsia="Times New Roman" w:hAnsi="Times New Roman" w:cs="Times New Roman"/>
        </w:rPr>
      </w:pPr>
      <w:r w:rsidRPr="00BB66A8">
        <w:rPr>
          <w:rFonts w:ascii="Times New Roman" w:eastAsia="Times New Roman" w:hAnsi="Times New Roman" w:cs="Times New Roman"/>
        </w:rPr>
        <w:t>Scoutaris, N., Ross, S.A., Douroumis, D., 2018. 3D Printed “Starmix” Drug Loaded Dosage Forms for Paediatric Applications. Pharmaceutical Research 35, 1–11. https://doi.org/10.1007/s11095-017-2284-2</w:t>
      </w:r>
    </w:p>
    <w:p w14:paraId="5215B06C" w14:textId="77777777" w:rsidR="00432BE0" w:rsidRPr="00BB66A8" w:rsidRDefault="00432BE0">
      <w:pPr>
        <w:autoSpaceDE w:val="0"/>
        <w:autoSpaceDN w:val="0"/>
        <w:ind w:hanging="480"/>
        <w:divId w:val="2109885517"/>
        <w:rPr>
          <w:rFonts w:ascii="Times New Roman" w:eastAsia="Times New Roman" w:hAnsi="Times New Roman" w:cs="Times New Roman"/>
        </w:rPr>
      </w:pPr>
      <w:r w:rsidRPr="00BB66A8">
        <w:rPr>
          <w:rFonts w:ascii="Times New Roman" w:eastAsia="Times New Roman" w:hAnsi="Times New Roman" w:cs="Times New Roman"/>
        </w:rPr>
        <w:t>Siepmann, J., Peppas, N.A., 2012. Modeling of drug release from delivery systems based on hydroxypropyl methylcellulose (HPMC). Advanced Drug Delivery Reviews 64, 163–174. https://doi.org/10.1016/j.addr.2012.09.028</w:t>
      </w:r>
    </w:p>
    <w:p w14:paraId="251E1061" w14:textId="77777777" w:rsidR="00432BE0" w:rsidRPr="00BB66A8" w:rsidRDefault="00432BE0">
      <w:pPr>
        <w:autoSpaceDE w:val="0"/>
        <w:autoSpaceDN w:val="0"/>
        <w:ind w:hanging="480"/>
        <w:divId w:val="1087920374"/>
        <w:rPr>
          <w:rFonts w:ascii="Times New Roman" w:eastAsia="Times New Roman" w:hAnsi="Times New Roman" w:cs="Times New Roman"/>
        </w:rPr>
      </w:pPr>
      <w:r w:rsidRPr="00BB66A8">
        <w:rPr>
          <w:rFonts w:ascii="Times New Roman" w:eastAsia="Times New Roman" w:hAnsi="Times New Roman" w:cs="Times New Roman"/>
        </w:rPr>
        <w:t>Soltani, F., Kamali, H., Akhgari, A., Garekani, H.A., Nokhodchi, A., Sadeghi, F., 2022. Different trends for preparation of budesonide pellets with enhanced dissolution rate. Advanced Powder Technology 33, 103684. https://doi.org/10.1016/j.apt.2022.103684</w:t>
      </w:r>
    </w:p>
    <w:p w14:paraId="0D67175B" w14:textId="77777777" w:rsidR="00432BE0" w:rsidRPr="00BB66A8" w:rsidRDefault="00432BE0">
      <w:pPr>
        <w:autoSpaceDE w:val="0"/>
        <w:autoSpaceDN w:val="0"/>
        <w:ind w:hanging="480"/>
        <w:divId w:val="2107386878"/>
        <w:rPr>
          <w:rFonts w:ascii="Times New Roman" w:eastAsia="Times New Roman" w:hAnsi="Times New Roman" w:cs="Times New Roman"/>
        </w:rPr>
      </w:pPr>
      <w:r w:rsidRPr="00BB66A8">
        <w:rPr>
          <w:rFonts w:ascii="Times New Roman" w:eastAsia="Times New Roman" w:hAnsi="Times New Roman" w:cs="Times New Roman"/>
        </w:rPr>
        <w:t>Stato, P. di, n.d. Italian Official Pharmacopoeia XII edition.</w:t>
      </w:r>
    </w:p>
    <w:p w14:paraId="46F7C7CA" w14:textId="77777777" w:rsidR="00432BE0" w:rsidRPr="00BB66A8" w:rsidRDefault="00432BE0">
      <w:pPr>
        <w:autoSpaceDE w:val="0"/>
        <w:autoSpaceDN w:val="0"/>
        <w:ind w:hanging="480"/>
        <w:divId w:val="1388576931"/>
        <w:rPr>
          <w:rFonts w:ascii="Times New Roman" w:eastAsia="Times New Roman" w:hAnsi="Times New Roman" w:cs="Times New Roman"/>
        </w:rPr>
      </w:pPr>
      <w:r w:rsidRPr="00BB66A8">
        <w:rPr>
          <w:rFonts w:ascii="Times New Roman" w:eastAsia="Times New Roman" w:hAnsi="Times New Roman" w:cs="Times New Roman"/>
        </w:rPr>
        <w:t>Suárez-González, J., Magariños-Triviño, M., Díaz-Torres, E., Cáceres-Pérez, A.R., Santoveña-Estévez, A., Fariña, J.B., 2021. Individualized orodispersible pediatric dosage forms obtained by molding and semi-solid extrusion by 3D printing: A comparative study for hydrochlorothiazide. Journal of Drug Delivery Science and Technology 66. https://doi.org/10.1016/j.jddst.2021.102884</w:t>
      </w:r>
    </w:p>
    <w:p w14:paraId="2AB86009" w14:textId="77777777" w:rsidR="00432BE0" w:rsidRPr="00BB66A8" w:rsidRDefault="00432BE0">
      <w:pPr>
        <w:autoSpaceDE w:val="0"/>
        <w:autoSpaceDN w:val="0"/>
        <w:ind w:hanging="480"/>
        <w:divId w:val="1655646182"/>
        <w:rPr>
          <w:rFonts w:ascii="Times New Roman" w:eastAsia="Times New Roman" w:hAnsi="Times New Roman" w:cs="Times New Roman"/>
        </w:rPr>
      </w:pPr>
      <w:r w:rsidRPr="00BB66A8">
        <w:rPr>
          <w:rFonts w:ascii="Times New Roman" w:eastAsia="Times New Roman" w:hAnsi="Times New Roman" w:cs="Times New Roman"/>
        </w:rPr>
        <w:t>Sun, H., Wang, X., Wang, J., Shi, G., Chen, L., 2020. Influence of the formula on the properties of a fast dispersible fruit tablet made from mango, Chlorella, and cactus powder. Food Science and Nutrition 8, 479–488. https://doi.org/10.1002/fsn3.1330</w:t>
      </w:r>
    </w:p>
    <w:p w14:paraId="7E48EFF7" w14:textId="77777777" w:rsidR="00432BE0" w:rsidRPr="00BB66A8" w:rsidRDefault="00432BE0">
      <w:pPr>
        <w:autoSpaceDE w:val="0"/>
        <w:autoSpaceDN w:val="0"/>
        <w:ind w:hanging="480"/>
        <w:divId w:val="767777536"/>
        <w:rPr>
          <w:rFonts w:ascii="Times New Roman" w:eastAsia="Times New Roman" w:hAnsi="Times New Roman" w:cs="Times New Roman"/>
        </w:rPr>
      </w:pPr>
      <w:r w:rsidRPr="00BB66A8">
        <w:rPr>
          <w:rFonts w:ascii="Times New Roman" w:eastAsia="Times New Roman" w:hAnsi="Times New Roman" w:cs="Times New Roman"/>
        </w:rPr>
        <w:t>Takano, R., Maurer, R., Jacob, L., Stowasser, F., Stillhart, C., Page, S., 2020. Formulating Amorphous Solid Dispersions: Impact of Inorganic Salts on Drug Release from Tablets Containing Itraconazole-HPMC Extrudate. Molecular Pharmaceutics 17, 2768–2778. https://doi.org/10.1021/acs.molpharmaceut.9b01109</w:t>
      </w:r>
    </w:p>
    <w:p w14:paraId="4F2AC77F" w14:textId="77777777" w:rsidR="00432BE0" w:rsidRPr="00BB66A8" w:rsidRDefault="00432BE0">
      <w:pPr>
        <w:autoSpaceDE w:val="0"/>
        <w:autoSpaceDN w:val="0"/>
        <w:ind w:hanging="480"/>
        <w:divId w:val="1059665582"/>
        <w:rPr>
          <w:rFonts w:ascii="Times New Roman" w:eastAsia="Times New Roman" w:hAnsi="Times New Roman" w:cs="Times New Roman"/>
        </w:rPr>
      </w:pPr>
      <w:r w:rsidRPr="00BB66A8">
        <w:rPr>
          <w:rFonts w:ascii="Times New Roman" w:eastAsia="Times New Roman" w:hAnsi="Times New Roman" w:cs="Times New Roman"/>
        </w:rPr>
        <w:t>Thakral, N., Ray, A.R., Shalom, D.B., Eriksson, A.H., Majumdar, D., 2011. The quest for targeted delivery in colon cancer: mucoadhesive valdecoxib microspheres. International Journal of Nanomedicine 1057. https://doi.org/10.2147/IJN.S19561</w:t>
      </w:r>
    </w:p>
    <w:p w14:paraId="37343B37" w14:textId="77777777" w:rsidR="00432BE0" w:rsidRPr="00BB66A8" w:rsidRDefault="00432BE0">
      <w:pPr>
        <w:autoSpaceDE w:val="0"/>
        <w:autoSpaceDN w:val="0"/>
        <w:ind w:hanging="480"/>
        <w:divId w:val="1003584900"/>
        <w:rPr>
          <w:rFonts w:ascii="Times New Roman" w:eastAsia="Times New Roman" w:hAnsi="Times New Roman" w:cs="Times New Roman"/>
        </w:rPr>
      </w:pPr>
      <w:r w:rsidRPr="00BB66A8">
        <w:rPr>
          <w:rFonts w:ascii="Times New Roman" w:eastAsia="Times New Roman" w:hAnsi="Times New Roman" w:cs="Times New Roman"/>
        </w:rPr>
        <w:t>Thiry, J., Krier, F., Ratwatte, S., Thomassin, J.M., Jerome, C., Evrard, B., 2017. Hot-melt extrusion as a continuous manufacturing process to form ternary cyclodextrin inclusion complexes. European Journal of Pharmaceutical Sciences 96, 590–597. https://doi.org/10.1016/j.ejps.2016.09.032</w:t>
      </w:r>
    </w:p>
    <w:p w14:paraId="69D06BEB" w14:textId="77777777" w:rsidR="00432BE0" w:rsidRPr="00BB66A8" w:rsidRDefault="00432BE0">
      <w:pPr>
        <w:autoSpaceDE w:val="0"/>
        <w:autoSpaceDN w:val="0"/>
        <w:ind w:hanging="480"/>
        <w:divId w:val="1544830878"/>
        <w:rPr>
          <w:rFonts w:ascii="Times New Roman" w:eastAsia="Times New Roman" w:hAnsi="Times New Roman" w:cs="Times New Roman"/>
        </w:rPr>
      </w:pPr>
      <w:r w:rsidRPr="00BB66A8">
        <w:rPr>
          <w:rFonts w:ascii="Times New Roman" w:eastAsia="Times New Roman" w:hAnsi="Times New Roman" w:cs="Times New Roman"/>
        </w:rPr>
        <w:t>Wang, N.W., Hsieh, H., Yang, Y.J., 2021. Successful Montelukast Treatment in an Infant with Steroid-Resistant Eosinophilic Colitis. Case Reports in Gastroenterology 15, 389–394. https://doi.org/10.1159/000513146</w:t>
      </w:r>
    </w:p>
    <w:p w14:paraId="7BC90663" w14:textId="77777777" w:rsidR="00432BE0" w:rsidRPr="00BB66A8" w:rsidRDefault="00432BE0">
      <w:pPr>
        <w:autoSpaceDE w:val="0"/>
        <w:autoSpaceDN w:val="0"/>
        <w:ind w:hanging="480"/>
        <w:divId w:val="850995908"/>
        <w:rPr>
          <w:rFonts w:ascii="Times New Roman" w:eastAsia="Times New Roman" w:hAnsi="Times New Roman" w:cs="Times New Roman"/>
        </w:rPr>
      </w:pPr>
      <w:r w:rsidRPr="00BB66A8">
        <w:rPr>
          <w:rFonts w:ascii="Times New Roman" w:eastAsia="Times New Roman" w:hAnsi="Times New Roman" w:cs="Times New Roman"/>
        </w:rPr>
        <w:t>Wang, Y., Grohganz, H., Rades, T., 2022. Effects of polymer addition on the non-strongly interacting binary co-amorphous system carvedilol-tryptophan. International Journal of Pharmaceutics 617, 121625. https://doi.org/10.1016/j.ijpharm.2022.121625</w:t>
      </w:r>
    </w:p>
    <w:p w14:paraId="6A06F302" w14:textId="77777777" w:rsidR="00432BE0" w:rsidRPr="00BB66A8" w:rsidRDefault="00432BE0">
      <w:pPr>
        <w:autoSpaceDE w:val="0"/>
        <w:autoSpaceDN w:val="0"/>
        <w:ind w:hanging="480"/>
        <w:divId w:val="967202383"/>
        <w:rPr>
          <w:rFonts w:ascii="Times New Roman" w:eastAsia="Times New Roman" w:hAnsi="Times New Roman" w:cs="Times New Roman"/>
        </w:rPr>
      </w:pPr>
      <w:r w:rsidRPr="00BB66A8">
        <w:rPr>
          <w:rFonts w:ascii="Times New Roman" w:eastAsia="Times New Roman" w:hAnsi="Times New Roman" w:cs="Times New Roman"/>
        </w:rPr>
        <w:t>Wesseling, M., Kuppler, F., Bodmeier, R., 1999. Tackiness of acrylic and cellulosic polymer films used in the coating of solid dosage forms. European Journal of Pharmaceutics and Biopharmaceutics 47, 73–78. https://doi.org/10.1016/S0939-6411(98)00091-5</w:t>
      </w:r>
    </w:p>
    <w:p w14:paraId="27A5750F" w14:textId="77777777" w:rsidR="00432BE0" w:rsidRPr="00BB66A8" w:rsidRDefault="00432BE0">
      <w:pPr>
        <w:autoSpaceDE w:val="0"/>
        <w:autoSpaceDN w:val="0"/>
        <w:ind w:hanging="480"/>
        <w:divId w:val="813448996"/>
        <w:rPr>
          <w:rFonts w:ascii="Times New Roman" w:eastAsia="Times New Roman" w:hAnsi="Times New Roman" w:cs="Times New Roman"/>
        </w:rPr>
      </w:pPr>
      <w:r w:rsidRPr="00BB66A8">
        <w:rPr>
          <w:rFonts w:ascii="Times New Roman" w:eastAsia="Times New Roman" w:hAnsi="Times New Roman" w:cs="Times New Roman"/>
        </w:rPr>
        <w:t>Wu, C., McGinity, J.W., 2003. Influence of an enteric polymer on drug release rates of theophylline from pellets coated with Eudragit® RS 30D. Pharmaceutical Development and Technology 8, 103–110. https://doi.org/10.1081/PDT-120017529</w:t>
      </w:r>
    </w:p>
    <w:p w14:paraId="1188986B" w14:textId="77777777" w:rsidR="00432BE0" w:rsidRPr="00BB66A8" w:rsidRDefault="00432BE0">
      <w:pPr>
        <w:autoSpaceDE w:val="0"/>
        <w:autoSpaceDN w:val="0"/>
        <w:ind w:hanging="480"/>
        <w:divId w:val="1890917226"/>
        <w:rPr>
          <w:rFonts w:ascii="Times New Roman" w:eastAsia="Times New Roman" w:hAnsi="Times New Roman" w:cs="Times New Roman"/>
        </w:rPr>
      </w:pPr>
      <w:r w:rsidRPr="00BB66A8">
        <w:rPr>
          <w:rFonts w:ascii="Times New Roman" w:eastAsia="Times New Roman" w:hAnsi="Times New Roman" w:cs="Times New Roman"/>
        </w:rPr>
        <w:lastRenderedPageBreak/>
        <w:t>Xi, H., Ren, J., Novak, J.M., Kemp, E., Johnson, G., Klinzing, G., Johnson, M.A., Xu, W., 2020. The Effect of Inorganic Salt on Disintegration of Tablets with High Loading of Amorphous Solid Dispersion Containing Copovidone. Pharmaceutical Research 37. https://doi.org/10.1007/s11095-020-2772-7</w:t>
      </w:r>
    </w:p>
    <w:p w14:paraId="404BFDCA" w14:textId="77777777" w:rsidR="00432BE0" w:rsidRPr="00BB66A8" w:rsidRDefault="00432BE0">
      <w:pPr>
        <w:autoSpaceDE w:val="0"/>
        <w:autoSpaceDN w:val="0"/>
        <w:ind w:hanging="480"/>
        <w:divId w:val="796071282"/>
        <w:rPr>
          <w:rFonts w:ascii="Times New Roman" w:eastAsia="Times New Roman" w:hAnsi="Times New Roman" w:cs="Times New Roman"/>
        </w:rPr>
      </w:pPr>
      <w:r w:rsidRPr="00BB66A8">
        <w:rPr>
          <w:rFonts w:ascii="Times New Roman" w:eastAsia="Times New Roman" w:hAnsi="Times New Roman" w:cs="Times New Roman"/>
        </w:rPr>
        <w:t>Yan, Y., Wang, P., Li, R., Sun, Y., Zhang, R., Huo, C., Xing, J., Dong, Y., 2019. Synthesis of budesonide conjugates and their anti-inflammatory effects: A preliminary study. Drug Design, Development and Therapy 13, 681–694. https://doi.org/10.2147/DDDT.S192348</w:t>
      </w:r>
    </w:p>
    <w:p w14:paraId="3E53FBB6" w14:textId="77777777" w:rsidR="00432BE0" w:rsidRPr="00BB66A8" w:rsidRDefault="00432BE0">
      <w:pPr>
        <w:autoSpaceDE w:val="0"/>
        <w:autoSpaceDN w:val="0"/>
        <w:ind w:hanging="480"/>
        <w:divId w:val="1217161982"/>
        <w:rPr>
          <w:rFonts w:ascii="Times New Roman" w:eastAsia="Times New Roman" w:hAnsi="Times New Roman" w:cs="Times New Roman"/>
          <w:lang w:val="it-IT"/>
        </w:rPr>
      </w:pPr>
      <w:r w:rsidRPr="00BB66A8">
        <w:rPr>
          <w:rFonts w:ascii="Times New Roman" w:eastAsia="Times New Roman" w:hAnsi="Times New Roman" w:cs="Times New Roman"/>
        </w:rPr>
        <w:t xml:space="preserve">Yuan, C., Liu, B., Liu, H., 2015. Characterization of hydroxypropyl-β-cyclodextrins with different substitution patterns via FTIR, GC-MS, and TG-DTA. </w:t>
      </w:r>
      <w:r w:rsidRPr="00BB66A8">
        <w:rPr>
          <w:rFonts w:ascii="Times New Roman" w:eastAsia="Times New Roman" w:hAnsi="Times New Roman" w:cs="Times New Roman"/>
          <w:lang w:val="it-IT"/>
        </w:rPr>
        <w:t>Carbohydrate Polymers 118, 36–40. https://doi.org/10.1016/j.carbpol.2014.10.070</w:t>
      </w:r>
    </w:p>
    <w:p w14:paraId="36EC39FA" w14:textId="77777777" w:rsidR="00432BE0" w:rsidRPr="00BB66A8" w:rsidRDefault="00432BE0">
      <w:pPr>
        <w:autoSpaceDE w:val="0"/>
        <w:autoSpaceDN w:val="0"/>
        <w:ind w:hanging="480"/>
        <w:divId w:val="1263565481"/>
        <w:rPr>
          <w:rFonts w:ascii="Times New Roman" w:eastAsia="Times New Roman" w:hAnsi="Times New Roman" w:cs="Times New Roman"/>
        </w:rPr>
      </w:pPr>
      <w:r w:rsidRPr="00BB66A8">
        <w:rPr>
          <w:rFonts w:ascii="Times New Roman" w:eastAsia="Times New Roman" w:hAnsi="Times New Roman" w:cs="Times New Roman"/>
          <w:lang w:val="it-IT"/>
        </w:rPr>
        <w:t xml:space="preserve">Zema, L., Melocchi, A., Maroni, A., Gazzaniga, A., 2017. </w:t>
      </w:r>
      <w:r w:rsidRPr="00BB66A8">
        <w:rPr>
          <w:rFonts w:ascii="Times New Roman" w:eastAsia="Times New Roman" w:hAnsi="Times New Roman" w:cs="Times New Roman"/>
        </w:rPr>
        <w:t>Three-Dimensional Printing of Medicinal Products and the Challenge of Personalized Therapy. Journal of Pharmaceutical Sciences 106, 1697–1705. https://doi.org/10.1016/j.xphs.2017.03.021</w:t>
      </w:r>
    </w:p>
    <w:p w14:paraId="1F7902E4" w14:textId="77777777" w:rsidR="00432BE0" w:rsidRPr="00BB66A8" w:rsidRDefault="00432BE0">
      <w:pPr>
        <w:autoSpaceDE w:val="0"/>
        <w:autoSpaceDN w:val="0"/>
        <w:ind w:hanging="480"/>
        <w:divId w:val="1111973419"/>
        <w:rPr>
          <w:rFonts w:ascii="Times New Roman" w:eastAsia="Times New Roman" w:hAnsi="Times New Roman" w:cs="Times New Roman"/>
        </w:rPr>
      </w:pPr>
      <w:r w:rsidRPr="00BB66A8">
        <w:rPr>
          <w:rFonts w:ascii="Times New Roman" w:eastAsia="Times New Roman" w:hAnsi="Times New Roman" w:cs="Times New Roman"/>
        </w:rPr>
        <w:t>Zhao, J., Yin, D., Rowe, J., Badawy, S., Nikfar, F., Pandey, P., 2018. Understanding the Factors That Control the Quality of Mini-Tablet Compression: Flow, Particle Size, and Tooling Dimension. Journal of Pharmaceutical Sciences 107, 1204–1208. https://doi.org/10.1016/j.xphs.2017.12.002</w:t>
      </w:r>
    </w:p>
    <w:p w14:paraId="00709ADB" w14:textId="77777777" w:rsidR="00432BE0" w:rsidRPr="00BB66A8" w:rsidRDefault="00432BE0">
      <w:pPr>
        <w:autoSpaceDE w:val="0"/>
        <w:autoSpaceDN w:val="0"/>
        <w:ind w:hanging="480"/>
        <w:divId w:val="893469772"/>
        <w:rPr>
          <w:rFonts w:ascii="Times New Roman" w:eastAsia="Times New Roman" w:hAnsi="Times New Roman" w:cs="Times New Roman"/>
        </w:rPr>
      </w:pPr>
      <w:r w:rsidRPr="00BB66A8">
        <w:rPr>
          <w:rFonts w:ascii="Times New Roman" w:eastAsia="Times New Roman" w:hAnsi="Times New Roman" w:cs="Times New Roman"/>
        </w:rPr>
        <w:t>Zuccari, G., Alfei, S., Marimpietri, D., Iurilli, V., Barabino, P., Marchitto, L., 2022. Mini-Tablets: A Valid Strategy to Combine Efficacy and Safety in Pediatrics. Pharmaceuticals 15. https://doi.org/10.3390/ph15010108</w:t>
      </w:r>
    </w:p>
    <w:p w14:paraId="024375D9" w14:textId="332DDB03" w:rsidR="00A2620A" w:rsidRPr="00BB66A8" w:rsidRDefault="00432BE0">
      <w:pPr>
        <w:rPr>
          <w:rFonts w:ascii="Times New Roman" w:hAnsi="Times New Roman" w:cs="Times New Roman"/>
        </w:rPr>
      </w:pPr>
      <w:r w:rsidRPr="00BB66A8">
        <w:rPr>
          <w:rFonts w:ascii="Times New Roman" w:eastAsia="Times New Roman" w:hAnsi="Times New Roman" w:cs="Times New Roman"/>
        </w:rPr>
        <w:t> </w:t>
      </w:r>
    </w:p>
    <w:p w14:paraId="4D5E1FCE" w14:textId="1FDE4156" w:rsidR="00A2620A" w:rsidRPr="00DF4AC2" w:rsidRDefault="00A2620A" w:rsidP="00540F3E">
      <w:pPr>
        <w:widowControl w:val="0"/>
        <w:autoSpaceDE w:val="0"/>
        <w:autoSpaceDN w:val="0"/>
        <w:adjustRightInd w:val="0"/>
        <w:ind w:left="480" w:hanging="480"/>
      </w:pPr>
    </w:p>
    <w:sectPr w:rsidR="00A2620A" w:rsidRPr="00DF4AC2" w:rsidSect="005C59A5">
      <w:pgSz w:w="11906" w:h="16838"/>
      <w:pgMar w:top="1418" w:right="1134" w:bottom="1134" w:left="1134" w:header="709" w:footer="709" w:gutter="0"/>
      <w:lnNumType w:countBy="5"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EF95BC" w14:textId="77777777" w:rsidR="003F5B0B" w:rsidRDefault="003F5B0B" w:rsidP="002A4ED7">
      <w:pPr>
        <w:spacing w:after="0"/>
      </w:pPr>
      <w:r>
        <w:separator/>
      </w:r>
    </w:p>
  </w:endnote>
  <w:endnote w:type="continuationSeparator" w:id="0">
    <w:p w14:paraId="51732177" w14:textId="77777777" w:rsidR="003F5B0B" w:rsidRDefault="003F5B0B" w:rsidP="002A4ED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NSimSun">
    <w:panose1 w:val="02010609030101010101"/>
    <w:charset w:val="86"/>
    <w:family w:val="modern"/>
    <w:pitch w:val="fixed"/>
    <w:sig w:usb0="0000028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93569C" w14:textId="77777777" w:rsidR="003F5B0B" w:rsidRDefault="003F5B0B" w:rsidP="002A4ED7">
      <w:pPr>
        <w:spacing w:after="0"/>
      </w:pPr>
      <w:r>
        <w:separator/>
      </w:r>
    </w:p>
  </w:footnote>
  <w:footnote w:type="continuationSeparator" w:id="0">
    <w:p w14:paraId="5A49ADDD" w14:textId="77777777" w:rsidR="003F5B0B" w:rsidRDefault="003F5B0B" w:rsidP="002A4ED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93F86"/>
    <w:multiLevelType w:val="hybridMultilevel"/>
    <w:tmpl w:val="01A698AE"/>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 w15:restartNumberingAfterBreak="0">
    <w:nsid w:val="0C8F0A19"/>
    <w:multiLevelType w:val="hybridMultilevel"/>
    <w:tmpl w:val="1D7A2DA4"/>
    <w:lvl w:ilvl="0" w:tplc="0410000F">
      <w:start w:val="1"/>
      <w:numFmt w:val="decimal"/>
      <w:lvlText w:val="%1."/>
      <w:lvlJc w:val="left"/>
      <w:pPr>
        <w:ind w:left="1364" w:hanging="360"/>
      </w:pPr>
    </w:lvl>
    <w:lvl w:ilvl="1" w:tplc="04100019" w:tentative="1">
      <w:start w:val="1"/>
      <w:numFmt w:val="lowerLetter"/>
      <w:lvlText w:val="%2."/>
      <w:lvlJc w:val="left"/>
      <w:pPr>
        <w:ind w:left="2084" w:hanging="360"/>
      </w:pPr>
    </w:lvl>
    <w:lvl w:ilvl="2" w:tplc="0410001B" w:tentative="1">
      <w:start w:val="1"/>
      <w:numFmt w:val="lowerRoman"/>
      <w:lvlText w:val="%3."/>
      <w:lvlJc w:val="right"/>
      <w:pPr>
        <w:ind w:left="2804" w:hanging="180"/>
      </w:pPr>
    </w:lvl>
    <w:lvl w:ilvl="3" w:tplc="0410000F" w:tentative="1">
      <w:start w:val="1"/>
      <w:numFmt w:val="decimal"/>
      <w:lvlText w:val="%4."/>
      <w:lvlJc w:val="left"/>
      <w:pPr>
        <w:ind w:left="3524" w:hanging="360"/>
      </w:pPr>
    </w:lvl>
    <w:lvl w:ilvl="4" w:tplc="04100019" w:tentative="1">
      <w:start w:val="1"/>
      <w:numFmt w:val="lowerLetter"/>
      <w:lvlText w:val="%5."/>
      <w:lvlJc w:val="left"/>
      <w:pPr>
        <w:ind w:left="4244" w:hanging="360"/>
      </w:pPr>
    </w:lvl>
    <w:lvl w:ilvl="5" w:tplc="0410001B" w:tentative="1">
      <w:start w:val="1"/>
      <w:numFmt w:val="lowerRoman"/>
      <w:lvlText w:val="%6."/>
      <w:lvlJc w:val="right"/>
      <w:pPr>
        <w:ind w:left="4964" w:hanging="180"/>
      </w:pPr>
    </w:lvl>
    <w:lvl w:ilvl="6" w:tplc="0410000F" w:tentative="1">
      <w:start w:val="1"/>
      <w:numFmt w:val="decimal"/>
      <w:lvlText w:val="%7."/>
      <w:lvlJc w:val="left"/>
      <w:pPr>
        <w:ind w:left="5684" w:hanging="360"/>
      </w:pPr>
    </w:lvl>
    <w:lvl w:ilvl="7" w:tplc="04100019" w:tentative="1">
      <w:start w:val="1"/>
      <w:numFmt w:val="lowerLetter"/>
      <w:lvlText w:val="%8."/>
      <w:lvlJc w:val="left"/>
      <w:pPr>
        <w:ind w:left="6404" w:hanging="360"/>
      </w:pPr>
    </w:lvl>
    <w:lvl w:ilvl="8" w:tplc="0410001B" w:tentative="1">
      <w:start w:val="1"/>
      <w:numFmt w:val="lowerRoman"/>
      <w:lvlText w:val="%9."/>
      <w:lvlJc w:val="right"/>
      <w:pPr>
        <w:ind w:left="7124" w:hanging="180"/>
      </w:pPr>
    </w:lvl>
  </w:abstractNum>
  <w:abstractNum w:abstractNumId="2" w15:restartNumberingAfterBreak="0">
    <w:nsid w:val="0E21303D"/>
    <w:multiLevelType w:val="hybridMultilevel"/>
    <w:tmpl w:val="8D98AC56"/>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 w15:restartNumberingAfterBreak="0">
    <w:nsid w:val="39204AF2"/>
    <w:multiLevelType w:val="hybridMultilevel"/>
    <w:tmpl w:val="C1ECF62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B7D4FB5"/>
    <w:multiLevelType w:val="hybridMultilevel"/>
    <w:tmpl w:val="2D6A949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4D5F0BF0"/>
    <w:multiLevelType w:val="hybridMultilevel"/>
    <w:tmpl w:val="40B4C9F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516565E9"/>
    <w:multiLevelType w:val="multilevel"/>
    <w:tmpl w:val="E528E97A"/>
    <w:lvl w:ilvl="0">
      <w:start w:val="2"/>
      <w:numFmt w:val="decimal"/>
      <w:lvlText w:val="%1"/>
      <w:lvlJc w:val="left"/>
      <w:pPr>
        <w:ind w:left="360" w:hanging="360"/>
      </w:pPr>
      <w:rPr>
        <w:rFonts w:hint="default"/>
      </w:rPr>
    </w:lvl>
    <w:lvl w:ilvl="1">
      <w:start w:val="1"/>
      <w:numFmt w:val="decimal"/>
      <w:pStyle w:val="Titolo3"/>
      <w:lvlText w:val="%1.%2"/>
      <w:lvlJc w:val="left"/>
      <w:pPr>
        <w:ind w:left="644" w:hanging="360"/>
      </w:pPr>
      <w:rPr>
        <w:rFonts w:hint="default"/>
      </w:rPr>
    </w:lvl>
    <w:lvl w:ilvl="2">
      <w:start w:val="1"/>
      <w:numFmt w:val="decimal"/>
      <w:lvlText w:val="%1.%2.%3"/>
      <w:lvlJc w:val="left"/>
      <w:pPr>
        <w:ind w:left="1536" w:hanging="720"/>
      </w:pPr>
      <w:rPr>
        <w:rFonts w:hint="default"/>
      </w:rPr>
    </w:lvl>
    <w:lvl w:ilvl="3">
      <w:start w:val="1"/>
      <w:numFmt w:val="decimal"/>
      <w:lvlText w:val="%1.%2.%3.%4"/>
      <w:lvlJc w:val="left"/>
      <w:pPr>
        <w:ind w:left="2304" w:hanging="108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480" w:hanging="144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656" w:hanging="1800"/>
      </w:pPr>
      <w:rPr>
        <w:rFonts w:hint="default"/>
      </w:rPr>
    </w:lvl>
    <w:lvl w:ilvl="8">
      <w:start w:val="1"/>
      <w:numFmt w:val="decimal"/>
      <w:lvlText w:val="%1.%2.%3.%4.%5.%6.%7.%8.%9"/>
      <w:lvlJc w:val="left"/>
      <w:pPr>
        <w:ind w:left="5064" w:hanging="1800"/>
      </w:pPr>
      <w:rPr>
        <w:rFonts w:hint="default"/>
      </w:rPr>
    </w:lvl>
  </w:abstractNum>
  <w:abstractNum w:abstractNumId="7" w15:restartNumberingAfterBreak="0">
    <w:nsid w:val="54CB2740"/>
    <w:multiLevelType w:val="hybridMultilevel"/>
    <w:tmpl w:val="F8906DF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58A1621F"/>
    <w:multiLevelType w:val="hybridMultilevel"/>
    <w:tmpl w:val="0C14CCE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FF3383A"/>
    <w:multiLevelType w:val="hybridMultilevel"/>
    <w:tmpl w:val="9808D3E4"/>
    <w:lvl w:ilvl="0" w:tplc="041F000F">
      <w:start w:val="1"/>
      <w:numFmt w:val="decimal"/>
      <w:lvlText w:val="%1."/>
      <w:lvlJc w:val="left"/>
      <w:pPr>
        <w:ind w:left="768" w:hanging="360"/>
      </w:pPr>
    </w:lvl>
    <w:lvl w:ilvl="1" w:tplc="041F0019" w:tentative="1">
      <w:start w:val="1"/>
      <w:numFmt w:val="lowerLetter"/>
      <w:lvlText w:val="%2."/>
      <w:lvlJc w:val="left"/>
      <w:pPr>
        <w:ind w:left="1488" w:hanging="360"/>
      </w:pPr>
    </w:lvl>
    <w:lvl w:ilvl="2" w:tplc="041F001B" w:tentative="1">
      <w:start w:val="1"/>
      <w:numFmt w:val="lowerRoman"/>
      <w:lvlText w:val="%3."/>
      <w:lvlJc w:val="right"/>
      <w:pPr>
        <w:ind w:left="2208" w:hanging="180"/>
      </w:pPr>
    </w:lvl>
    <w:lvl w:ilvl="3" w:tplc="041F000F" w:tentative="1">
      <w:start w:val="1"/>
      <w:numFmt w:val="decimal"/>
      <w:lvlText w:val="%4."/>
      <w:lvlJc w:val="left"/>
      <w:pPr>
        <w:ind w:left="2928" w:hanging="360"/>
      </w:pPr>
    </w:lvl>
    <w:lvl w:ilvl="4" w:tplc="041F0019" w:tentative="1">
      <w:start w:val="1"/>
      <w:numFmt w:val="lowerLetter"/>
      <w:lvlText w:val="%5."/>
      <w:lvlJc w:val="left"/>
      <w:pPr>
        <w:ind w:left="3648" w:hanging="360"/>
      </w:pPr>
    </w:lvl>
    <w:lvl w:ilvl="5" w:tplc="041F001B" w:tentative="1">
      <w:start w:val="1"/>
      <w:numFmt w:val="lowerRoman"/>
      <w:lvlText w:val="%6."/>
      <w:lvlJc w:val="right"/>
      <w:pPr>
        <w:ind w:left="4368" w:hanging="180"/>
      </w:pPr>
    </w:lvl>
    <w:lvl w:ilvl="6" w:tplc="041F000F" w:tentative="1">
      <w:start w:val="1"/>
      <w:numFmt w:val="decimal"/>
      <w:lvlText w:val="%7."/>
      <w:lvlJc w:val="left"/>
      <w:pPr>
        <w:ind w:left="5088" w:hanging="360"/>
      </w:pPr>
    </w:lvl>
    <w:lvl w:ilvl="7" w:tplc="041F0019" w:tentative="1">
      <w:start w:val="1"/>
      <w:numFmt w:val="lowerLetter"/>
      <w:lvlText w:val="%8."/>
      <w:lvlJc w:val="left"/>
      <w:pPr>
        <w:ind w:left="5808" w:hanging="360"/>
      </w:pPr>
    </w:lvl>
    <w:lvl w:ilvl="8" w:tplc="041F001B" w:tentative="1">
      <w:start w:val="1"/>
      <w:numFmt w:val="lowerRoman"/>
      <w:lvlText w:val="%9."/>
      <w:lvlJc w:val="right"/>
      <w:pPr>
        <w:ind w:left="6528" w:hanging="180"/>
      </w:pPr>
    </w:lvl>
  </w:abstractNum>
  <w:abstractNum w:abstractNumId="10" w15:restartNumberingAfterBreak="0">
    <w:nsid w:val="761D0730"/>
    <w:multiLevelType w:val="multilevel"/>
    <w:tmpl w:val="46CC942A"/>
    <w:lvl w:ilvl="0">
      <w:start w:val="1"/>
      <w:numFmt w:val="decimal"/>
      <w:lvlText w:val="%1."/>
      <w:lvlJc w:val="left"/>
      <w:pPr>
        <w:ind w:left="720" w:hanging="360"/>
      </w:pPr>
      <w:rPr>
        <w:rFonts w:hint="default"/>
        <w:color w:val="auto"/>
      </w:rPr>
    </w:lvl>
    <w:lvl w:ilvl="1">
      <w:start w:val="1"/>
      <w:numFmt w:val="decimal"/>
      <w:lvlText w:val="%2."/>
      <w:lvlJc w:val="left"/>
      <w:pPr>
        <w:ind w:left="72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94B0B85"/>
    <w:multiLevelType w:val="multilevel"/>
    <w:tmpl w:val="AA840CAC"/>
    <w:lvl w:ilvl="0">
      <w:start w:val="1"/>
      <w:numFmt w:val="decimal"/>
      <w:lvlText w:val="%1."/>
      <w:lvlJc w:val="left"/>
      <w:pPr>
        <w:ind w:left="720" w:hanging="360"/>
      </w:pPr>
      <w:rPr>
        <w:rFonts w:hint="default"/>
        <w:color w:val="auto"/>
      </w:rPr>
    </w:lvl>
    <w:lvl w:ilvl="1">
      <w:start w:val="3"/>
      <w:numFmt w:val="decimal"/>
      <w:isLgl/>
      <w:lvlText w:val="%1.%2"/>
      <w:lvlJc w:val="left"/>
      <w:pPr>
        <w:ind w:left="852" w:hanging="49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7C0405D1"/>
    <w:multiLevelType w:val="hybridMultilevel"/>
    <w:tmpl w:val="8EBEA56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249435526">
    <w:abstractNumId w:val="5"/>
  </w:num>
  <w:num w:numId="2" w16cid:durableId="1923567309">
    <w:abstractNumId w:val="12"/>
  </w:num>
  <w:num w:numId="3" w16cid:durableId="1006640596">
    <w:abstractNumId w:val="9"/>
  </w:num>
  <w:num w:numId="4" w16cid:durableId="1619410906">
    <w:abstractNumId w:val="6"/>
  </w:num>
  <w:num w:numId="5" w16cid:durableId="1581213149">
    <w:abstractNumId w:val="10"/>
  </w:num>
  <w:num w:numId="6" w16cid:durableId="1945916815">
    <w:abstractNumId w:val="11"/>
  </w:num>
  <w:num w:numId="7" w16cid:durableId="2050374691">
    <w:abstractNumId w:val="4"/>
  </w:num>
  <w:num w:numId="8" w16cid:durableId="1924988928">
    <w:abstractNumId w:val="2"/>
  </w:num>
  <w:num w:numId="9" w16cid:durableId="385685731">
    <w:abstractNumId w:val="0"/>
  </w:num>
  <w:num w:numId="10" w16cid:durableId="906188079">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92018324">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7942171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77939223">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27081126">
    <w:abstractNumId w:val="7"/>
  </w:num>
  <w:num w:numId="15" w16cid:durableId="1320964522">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3489853">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58255635">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89466535">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66552078">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90161721">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96985591">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39678076">
    <w:abstractNumId w:val="3"/>
  </w:num>
  <w:num w:numId="23" w16cid:durableId="1355421941">
    <w:abstractNumId w:val="8"/>
  </w:num>
  <w:num w:numId="24" w16cid:durableId="7391309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La0NDY0NLI0tjSyMDRR0lEKTi0uzszPAykwqwUAUCUunywAAAA="/>
  </w:docVars>
  <w:rsids>
    <w:rsidRoot w:val="00250A24"/>
    <w:rsid w:val="00000656"/>
    <w:rsid w:val="0000114D"/>
    <w:rsid w:val="000016F5"/>
    <w:rsid w:val="000019FF"/>
    <w:rsid w:val="00003006"/>
    <w:rsid w:val="00003DCB"/>
    <w:rsid w:val="00004ABB"/>
    <w:rsid w:val="00005855"/>
    <w:rsid w:val="00007DC3"/>
    <w:rsid w:val="000142AC"/>
    <w:rsid w:val="000223D3"/>
    <w:rsid w:val="00022CED"/>
    <w:rsid w:val="000230FC"/>
    <w:rsid w:val="00025B83"/>
    <w:rsid w:val="000260E2"/>
    <w:rsid w:val="0003675C"/>
    <w:rsid w:val="00040C14"/>
    <w:rsid w:val="00044F86"/>
    <w:rsid w:val="00047F04"/>
    <w:rsid w:val="0005128D"/>
    <w:rsid w:val="00051B4B"/>
    <w:rsid w:val="00053BF4"/>
    <w:rsid w:val="000552C9"/>
    <w:rsid w:val="00060238"/>
    <w:rsid w:val="00060F2E"/>
    <w:rsid w:val="000623CC"/>
    <w:rsid w:val="00063CD1"/>
    <w:rsid w:val="00065A3A"/>
    <w:rsid w:val="0006713B"/>
    <w:rsid w:val="00067BAE"/>
    <w:rsid w:val="00076CDB"/>
    <w:rsid w:val="00080770"/>
    <w:rsid w:val="000838E4"/>
    <w:rsid w:val="00083B22"/>
    <w:rsid w:val="00083DD3"/>
    <w:rsid w:val="000867D7"/>
    <w:rsid w:val="000914C7"/>
    <w:rsid w:val="00091FE3"/>
    <w:rsid w:val="0009214D"/>
    <w:rsid w:val="000923D4"/>
    <w:rsid w:val="00092469"/>
    <w:rsid w:val="000933EF"/>
    <w:rsid w:val="000940C0"/>
    <w:rsid w:val="00096D32"/>
    <w:rsid w:val="00097597"/>
    <w:rsid w:val="000A0DDB"/>
    <w:rsid w:val="000A13B7"/>
    <w:rsid w:val="000A4E02"/>
    <w:rsid w:val="000A5313"/>
    <w:rsid w:val="000A6D88"/>
    <w:rsid w:val="000A79FE"/>
    <w:rsid w:val="000B23EE"/>
    <w:rsid w:val="000B278B"/>
    <w:rsid w:val="000B3841"/>
    <w:rsid w:val="000B47C6"/>
    <w:rsid w:val="000B5317"/>
    <w:rsid w:val="000B71D2"/>
    <w:rsid w:val="000B7C81"/>
    <w:rsid w:val="000C7C4E"/>
    <w:rsid w:val="000D0129"/>
    <w:rsid w:val="000D5C17"/>
    <w:rsid w:val="000E18C3"/>
    <w:rsid w:val="000E31B0"/>
    <w:rsid w:val="000E44BE"/>
    <w:rsid w:val="000E5A81"/>
    <w:rsid w:val="000E662C"/>
    <w:rsid w:val="000E7771"/>
    <w:rsid w:val="000E78FD"/>
    <w:rsid w:val="000F1AAD"/>
    <w:rsid w:val="000F31D2"/>
    <w:rsid w:val="000F4444"/>
    <w:rsid w:val="000F5FDC"/>
    <w:rsid w:val="000F6B39"/>
    <w:rsid w:val="00102987"/>
    <w:rsid w:val="00102CE6"/>
    <w:rsid w:val="001030ED"/>
    <w:rsid w:val="0010399F"/>
    <w:rsid w:val="00106142"/>
    <w:rsid w:val="001061E8"/>
    <w:rsid w:val="001069D8"/>
    <w:rsid w:val="00106A6A"/>
    <w:rsid w:val="001118D7"/>
    <w:rsid w:val="0011205A"/>
    <w:rsid w:val="001134F2"/>
    <w:rsid w:val="001208FD"/>
    <w:rsid w:val="00121C86"/>
    <w:rsid w:val="00127A4E"/>
    <w:rsid w:val="0013042B"/>
    <w:rsid w:val="00132672"/>
    <w:rsid w:val="00132FA7"/>
    <w:rsid w:val="00135F98"/>
    <w:rsid w:val="00136508"/>
    <w:rsid w:val="0014130C"/>
    <w:rsid w:val="00147D5F"/>
    <w:rsid w:val="001518CD"/>
    <w:rsid w:val="00151B52"/>
    <w:rsid w:val="00152A82"/>
    <w:rsid w:val="0015496A"/>
    <w:rsid w:val="00155E1F"/>
    <w:rsid w:val="00156A64"/>
    <w:rsid w:val="0016069D"/>
    <w:rsid w:val="00160D40"/>
    <w:rsid w:val="00161098"/>
    <w:rsid w:val="001616F2"/>
    <w:rsid w:val="00164A6C"/>
    <w:rsid w:val="00164C76"/>
    <w:rsid w:val="00165B01"/>
    <w:rsid w:val="00166560"/>
    <w:rsid w:val="00173326"/>
    <w:rsid w:val="00174A05"/>
    <w:rsid w:val="00174BA6"/>
    <w:rsid w:val="00175201"/>
    <w:rsid w:val="001778CB"/>
    <w:rsid w:val="00181587"/>
    <w:rsid w:val="0018293B"/>
    <w:rsid w:val="00186425"/>
    <w:rsid w:val="001877F2"/>
    <w:rsid w:val="00191DFC"/>
    <w:rsid w:val="00192E0C"/>
    <w:rsid w:val="00193D9A"/>
    <w:rsid w:val="00194F3C"/>
    <w:rsid w:val="001A118D"/>
    <w:rsid w:val="001A2C11"/>
    <w:rsid w:val="001A5548"/>
    <w:rsid w:val="001A73BF"/>
    <w:rsid w:val="001A7DBE"/>
    <w:rsid w:val="001B012C"/>
    <w:rsid w:val="001B0AC9"/>
    <w:rsid w:val="001B2F6E"/>
    <w:rsid w:val="001B436C"/>
    <w:rsid w:val="001B4CB7"/>
    <w:rsid w:val="001B51A4"/>
    <w:rsid w:val="001B6ADF"/>
    <w:rsid w:val="001C3FBC"/>
    <w:rsid w:val="001C3FFE"/>
    <w:rsid w:val="001D1808"/>
    <w:rsid w:val="001D1CC6"/>
    <w:rsid w:val="001D6B14"/>
    <w:rsid w:val="001E0D33"/>
    <w:rsid w:val="001E5FFD"/>
    <w:rsid w:val="001E62E3"/>
    <w:rsid w:val="001F0FE3"/>
    <w:rsid w:val="001F1FDE"/>
    <w:rsid w:val="001F382A"/>
    <w:rsid w:val="001F3B74"/>
    <w:rsid w:val="001F5E4C"/>
    <w:rsid w:val="001F7968"/>
    <w:rsid w:val="00200EE6"/>
    <w:rsid w:val="002013F2"/>
    <w:rsid w:val="002038D0"/>
    <w:rsid w:val="0021086A"/>
    <w:rsid w:val="00212379"/>
    <w:rsid w:val="00212A1D"/>
    <w:rsid w:val="00212EFE"/>
    <w:rsid w:val="00215DA6"/>
    <w:rsid w:val="002177A1"/>
    <w:rsid w:val="00221BE2"/>
    <w:rsid w:val="00223460"/>
    <w:rsid w:val="00224EA7"/>
    <w:rsid w:val="00226F27"/>
    <w:rsid w:val="002306E2"/>
    <w:rsid w:val="0023269E"/>
    <w:rsid w:val="00233FDF"/>
    <w:rsid w:val="00234301"/>
    <w:rsid w:val="0023442E"/>
    <w:rsid w:val="00234549"/>
    <w:rsid w:val="002363A2"/>
    <w:rsid w:val="002404D5"/>
    <w:rsid w:val="00240784"/>
    <w:rsid w:val="00241C9C"/>
    <w:rsid w:val="00242F9A"/>
    <w:rsid w:val="00244010"/>
    <w:rsid w:val="00244AE5"/>
    <w:rsid w:val="002465F9"/>
    <w:rsid w:val="002475C1"/>
    <w:rsid w:val="002500F4"/>
    <w:rsid w:val="00250A24"/>
    <w:rsid w:val="00252ABC"/>
    <w:rsid w:val="00256282"/>
    <w:rsid w:val="002601DB"/>
    <w:rsid w:val="0026033A"/>
    <w:rsid w:val="0026232D"/>
    <w:rsid w:val="0026359C"/>
    <w:rsid w:val="00264EB9"/>
    <w:rsid w:val="002650C3"/>
    <w:rsid w:val="00267592"/>
    <w:rsid w:val="0027622A"/>
    <w:rsid w:val="002773E8"/>
    <w:rsid w:val="00277812"/>
    <w:rsid w:val="002847FA"/>
    <w:rsid w:val="00286BA3"/>
    <w:rsid w:val="00291402"/>
    <w:rsid w:val="00291C8C"/>
    <w:rsid w:val="0029257F"/>
    <w:rsid w:val="00294226"/>
    <w:rsid w:val="00296468"/>
    <w:rsid w:val="00297223"/>
    <w:rsid w:val="002A4ED7"/>
    <w:rsid w:val="002B05F4"/>
    <w:rsid w:val="002B3F41"/>
    <w:rsid w:val="002B52B6"/>
    <w:rsid w:val="002B56F6"/>
    <w:rsid w:val="002B6DB4"/>
    <w:rsid w:val="002B79A5"/>
    <w:rsid w:val="002B7C27"/>
    <w:rsid w:val="002C064D"/>
    <w:rsid w:val="002C17BF"/>
    <w:rsid w:val="002C239D"/>
    <w:rsid w:val="002C56D2"/>
    <w:rsid w:val="002D13BD"/>
    <w:rsid w:val="002D6A71"/>
    <w:rsid w:val="002D712D"/>
    <w:rsid w:val="002E08A8"/>
    <w:rsid w:val="002E0B94"/>
    <w:rsid w:val="002E36FD"/>
    <w:rsid w:val="002E39B0"/>
    <w:rsid w:val="002E3BC8"/>
    <w:rsid w:val="002E472D"/>
    <w:rsid w:val="002E52D3"/>
    <w:rsid w:val="002E7762"/>
    <w:rsid w:val="002F1389"/>
    <w:rsid w:val="002F15CE"/>
    <w:rsid w:val="002F1846"/>
    <w:rsid w:val="002F55C2"/>
    <w:rsid w:val="002F6221"/>
    <w:rsid w:val="0030261C"/>
    <w:rsid w:val="0030378B"/>
    <w:rsid w:val="0030414B"/>
    <w:rsid w:val="003060BF"/>
    <w:rsid w:val="00307265"/>
    <w:rsid w:val="003106A8"/>
    <w:rsid w:val="0031264E"/>
    <w:rsid w:val="00314A36"/>
    <w:rsid w:val="00321269"/>
    <w:rsid w:val="00322D35"/>
    <w:rsid w:val="003239DD"/>
    <w:rsid w:val="00323F78"/>
    <w:rsid w:val="00324CE3"/>
    <w:rsid w:val="00325ADC"/>
    <w:rsid w:val="00325B1C"/>
    <w:rsid w:val="00325D0E"/>
    <w:rsid w:val="00330479"/>
    <w:rsid w:val="00332B02"/>
    <w:rsid w:val="00333424"/>
    <w:rsid w:val="00337648"/>
    <w:rsid w:val="00337E34"/>
    <w:rsid w:val="003402C0"/>
    <w:rsid w:val="00341A7F"/>
    <w:rsid w:val="00343691"/>
    <w:rsid w:val="00346EDE"/>
    <w:rsid w:val="0035049B"/>
    <w:rsid w:val="00350C44"/>
    <w:rsid w:val="00351012"/>
    <w:rsid w:val="0035488E"/>
    <w:rsid w:val="003601DC"/>
    <w:rsid w:val="003636BB"/>
    <w:rsid w:val="003658F0"/>
    <w:rsid w:val="00367CCA"/>
    <w:rsid w:val="003716B8"/>
    <w:rsid w:val="00371D63"/>
    <w:rsid w:val="00373DE1"/>
    <w:rsid w:val="00383BB0"/>
    <w:rsid w:val="00385F3F"/>
    <w:rsid w:val="00387693"/>
    <w:rsid w:val="00390E2B"/>
    <w:rsid w:val="00391342"/>
    <w:rsid w:val="003938E6"/>
    <w:rsid w:val="00394C94"/>
    <w:rsid w:val="00394FF0"/>
    <w:rsid w:val="00395A62"/>
    <w:rsid w:val="003979F3"/>
    <w:rsid w:val="00397DA9"/>
    <w:rsid w:val="003A022C"/>
    <w:rsid w:val="003A16CB"/>
    <w:rsid w:val="003A2F5F"/>
    <w:rsid w:val="003A40E1"/>
    <w:rsid w:val="003A4AA9"/>
    <w:rsid w:val="003A51EE"/>
    <w:rsid w:val="003A57A1"/>
    <w:rsid w:val="003A57EE"/>
    <w:rsid w:val="003A58EC"/>
    <w:rsid w:val="003A71E5"/>
    <w:rsid w:val="003B2624"/>
    <w:rsid w:val="003B28BF"/>
    <w:rsid w:val="003B3BFB"/>
    <w:rsid w:val="003B4792"/>
    <w:rsid w:val="003B5815"/>
    <w:rsid w:val="003B77CB"/>
    <w:rsid w:val="003C6152"/>
    <w:rsid w:val="003C6689"/>
    <w:rsid w:val="003C7DE8"/>
    <w:rsid w:val="003D44C1"/>
    <w:rsid w:val="003D4E20"/>
    <w:rsid w:val="003D56FF"/>
    <w:rsid w:val="003D5FE0"/>
    <w:rsid w:val="003D7757"/>
    <w:rsid w:val="003E03AD"/>
    <w:rsid w:val="003E2ABF"/>
    <w:rsid w:val="003E335E"/>
    <w:rsid w:val="003E37CE"/>
    <w:rsid w:val="003E3D43"/>
    <w:rsid w:val="003E44E3"/>
    <w:rsid w:val="003E709C"/>
    <w:rsid w:val="003F0DD3"/>
    <w:rsid w:val="003F1048"/>
    <w:rsid w:val="003F1A37"/>
    <w:rsid w:val="003F44B8"/>
    <w:rsid w:val="003F5B0B"/>
    <w:rsid w:val="003F65F2"/>
    <w:rsid w:val="003F69AE"/>
    <w:rsid w:val="003F7B9D"/>
    <w:rsid w:val="0040027F"/>
    <w:rsid w:val="00401C08"/>
    <w:rsid w:val="004044E7"/>
    <w:rsid w:val="00405089"/>
    <w:rsid w:val="00411AAC"/>
    <w:rsid w:val="00412FC3"/>
    <w:rsid w:val="00417660"/>
    <w:rsid w:val="0042038C"/>
    <w:rsid w:val="00420BA6"/>
    <w:rsid w:val="00421D5F"/>
    <w:rsid w:val="00422146"/>
    <w:rsid w:val="004234AC"/>
    <w:rsid w:val="0042678F"/>
    <w:rsid w:val="00426795"/>
    <w:rsid w:val="0042770A"/>
    <w:rsid w:val="00432BE0"/>
    <w:rsid w:val="00435A4A"/>
    <w:rsid w:val="00435CA3"/>
    <w:rsid w:val="00436D15"/>
    <w:rsid w:val="004379E1"/>
    <w:rsid w:val="00437B3F"/>
    <w:rsid w:val="0044017C"/>
    <w:rsid w:val="0044066B"/>
    <w:rsid w:val="004426BD"/>
    <w:rsid w:val="004427B0"/>
    <w:rsid w:val="004455F4"/>
    <w:rsid w:val="00446A01"/>
    <w:rsid w:val="004524B7"/>
    <w:rsid w:val="00455516"/>
    <w:rsid w:val="00456D3E"/>
    <w:rsid w:val="00456F35"/>
    <w:rsid w:val="00461BDB"/>
    <w:rsid w:val="00463C1E"/>
    <w:rsid w:val="00463C25"/>
    <w:rsid w:val="00463C3A"/>
    <w:rsid w:val="004643D0"/>
    <w:rsid w:val="00465089"/>
    <w:rsid w:val="0047013E"/>
    <w:rsid w:val="00472766"/>
    <w:rsid w:val="00476B00"/>
    <w:rsid w:val="00481321"/>
    <w:rsid w:val="004819DB"/>
    <w:rsid w:val="00483E37"/>
    <w:rsid w:val="00484C57"/>
    <w:rsid w:val="00485E6F"/>
    <w:rsid w:val="004869E4"/>
    <w:rsid w:val="00490149"/>
    <w:rsid w:val="004908E2"/>
    <w:rsid w:val="00494E6E"/>
    <w:rsid w:val="004A050B"/>
    <w:rsid w:val="004A064C"/>
    <w:rsid w:val="004A3D9C"/>
    <w:rsid w:val="004A491F"/>
    <w:rsid w:val="004A60B2"/>
    <w:rsid w:val="004B04EA"/>
    <w:rsid w:val="004B2111"/>
    <w:rsid w:val="004B29CB"/>
    <w:rsid w:val="004B3755"/>
    <w:rsid w:val="004B4280"/>
    <w:rsid w:val="004B56A2"/>
    <w:rsid w:val="004B6037"/>
    <w:rsid w:val="004B74E8"/>
    <w:rsid w:val="004B7EBF"/>
    <w:rsid w:val="004C1CEA"/>
    <w:rsid w:val="004C1D41"/>
    <w:rsid w:val="004C2C61"/>
    <w:rsid w:val="004C312B"/>
    <w:rsid w:val="004C625A"/>
    <w:rsid w:val="004D1150"/>
    <w:rsid w:val="004D2F64"/>
    <w:rsid w:val="004D53A6"/>
    <w:rsid w:val="004D606B"/>
    <w:rsid w:val="004E1AFB"/>
    <w:rsid w:val="004E320B"/>
    <w:rsid w:val="004E4CAB"/>
    <w:rsid w:val="004F0643"/>
    <w:rsid w:val="004F1FFE"/>
    <w:rsid w:val="004F29F5"/>
    <w:rsid w:val="004F2E6D"/>
    <w:rsid w:val="004F30DB"/>
    <w:rsid w:val="004F567C"/>
    <w:rsid w:val="004F59D3"/>
    <w:rsid w:val="004F7707"/>
    <w:rsid w:val="0050184B"/>
    <w:rsid w:val="005114E6"/>
    <w:rsid w:val="00511503"/>
    <w:rsid w:val="00511A83"/>
    <w:rsid w:val="0051265B"/>
    <w:rsid w:val="0051309D"/>
    <w:rsid w:val="00520374"/>
    <w:rsid w:val="005218C0"/>
    <w:rsid w:val="005222AF"/>
    <w:rsid w:val="00523507"/>
    <w:rsid w:val="00523922"/>
    <w:rsid w:val="00526934"/>
    <w:rsid w:val="00526AE2"/>
    <w:rsid w:val="00530C6A"/>
    <w:rsid w:val="00533BC6"/>
    <w:rsid w:val="00533F47"/>
    <w:rsid w:val="00534ED3"/>
    <w:rsid w:val="00535BE7"/>
    <w:rsid w:val="00537322"/>
    <w:rsid w:val="0053766D"/>
    <w:rsid w:val="00540C1F"/>
    <w:rsid w:val="00540F3E"/>
    <w:rsid w:val="00541767"/>
    <w:rsid w:val="00543293"/>
    <w:rsid w:val="00546352"/>
    <w:rsid w:val="005470AE"/>
    <w:rsid w:val="00551E59"/>
    <w:rsid w:val="005523C4"/>
    <w:rsid w:val="00553102"/>
    <w:rsid w:val="005541A2"/>
    <w:rsid w:val="00554684"/>
    <w:rsid w:val="00560505"/>
    <w:rsid w:val="005610B2"/>
    <w:rsid w:val="00562C7D"/>
    <w:rsid w:val="005630C3"/>
    <w:rsid w:val="005642C0"/>
    <w:rsid w:val="00564B4E"/>
    <w:rsid w:val="00566E91"/>
    <w:rsid w:val="005679C3"/>
    <w:rsid w:val="00572472"/>
    <w:rsid w:val="00577DB3"/>
    <w:rsid w:val="00580E22"/>
    <w:rsid w:val="00582432"/>
    <w:rsid w:val="0058427D"/>
    <w:rsid w:val="00586C02"/>
    <w:rsid w:val="00593B99"/>
    <w:rsid w:val="0059590A"/>
    <w:rsid w:val="00596CDC"/>
    <w:rsid w:val="005978B4"/>
    <w:rsid w:val="005A082D"/>
    <w:rsid w:val="005A44B2"/>
    <w:rsid w:val="005B24AF"/>
    <w:rsid w:val="005B424D"/>
    <w:rsid w:val="005B4388"/>
    <w:rsid w:val="005C0C67"/>
    <w:rsid w:val="005C4FF8"/>
    <w:rsid w:val="005C59A5"/>
    <w:rsid w:val="005D402F"/>
    <w:rsid w:val="005D4A29"/>
    <w:rsid w:val="005D651F"/>
    <w:rsid w:val="005E0D35"/>
    <w:rsid w:val="005E10EB"/>
    <w:rsid w:val="005E2C6D"/>
    <w:rsid w:val="005F05A3"/>
    <w:rsid w:val="005F074F"/>
    <w:rsid w:val="005F0DC2"/>
    <w:rsid w:val="005F1594"/>
    <w:rsid w:val="005F276F"/>
    <w:rsid w:val="005F30F5"/>
    <w:rsid w:val="005F4845"/>
    <w:rsid w:val="00600E08"/>
    <w:rsid w:val="00601188"/>
    <w:rsid w:val="00602306"/>
    <w:rsid w:val="00606D4B"/>
    <w:rsid w:val="00611212"/>
    <w:rsid w:val="00612278"/>
    <w:rsid w:val="00613E9B"/>
    <w:rsid w:val="0061452D"/>
    <w:rsid w:val="0061520F"/>
    <w:rsid w:val="006155EC"/>
    <w:rsid w:val="0061718A"/>
    <w:rsid w:val="006171AF"/>
    <w:rsid w:val="0061779C"/>
    <w:rsid w:val="00617D9C"/>
    <w:rsid w:val="00622C54"/>
    <w:rsid w:val="00623564"/>
    <w:rsid w:val="00623A84"/>
    <w:rsid w:val="006265DA"/>
    <w:rsid w:val="00626B37"/>
    <w:rsid w:val="00626CCF"/>
    <w:rsid w:val="00631034"/>
    <w:rsid w:val="00631C4D"/>
    <w:rsid w:val="006325D9"/>
    <w:rsid w:val="006346FA"/>
    <w:rsid w:val="006353F0"/>
    <w:rsid w:val="00641E5C"/>
    <w:rsid w:val="00642077"/>
    <w:rsid w:val="006534D8"/>
    <w:rsid w:val="00656BB6"/>
    <w:rsid w:val="00656F94"/>
    <w:rsid w:val="00661E4B"/>
    <w:rsid w:val="0066204D"/>
    <w:rsid w:val="00664CD6"/>
    <w:rsid w:val="006702E2"/>
    <w:rsid w:val="00670F76"/>
    <w:rsid w:val="0067491E"/>
    <w:rsid w:val="00676A40"/>
    <w:rsid w:val="006806D8"/>
    <w:rsid w:val="00680A84"/>
    <w:rsid w:val="0068301A"/>
    <w:rsid w:val="006870DD"/>
    <w:rsid w:val="006878A2"/>
    <w:rsid w:val="006918A5"/>
    <w:rsid w:val="00693928"/>
    <w:rsid w:val="00695DA2"/>
    <w:rsid w:val="00696351"/>
    <w:rsid w:val="006976BD"/>
    <w:rsid w:val="006976D1"/>
    <w:rsid w:val="006A28CF"/>
    <w:rsid w:val="006A354F"/>
    <w:rsid w:val="006A7C93"/>
    <w:rsid w:val="006B0202"/>
    <w:rsid w:val="006B1490"/>
    <w:rsid w:val="006B1B0B"/>
    <w:rsid w:val="006B2FD8"/>
    <w:rsid w:val="006B3BBD"/>
    <w:rsid w:val="006B62F9"/>
    <w:rsid w:val="006B6E7F"/>
    <w:rsid w:val="006C0202"/>
    <w:rsid w:val="006C0E78"/>
    <w:rsid w:val="006C17BA"/>
    <w:rsid w:val="006C1E32"/>
    <w:rsid w:val="006C2A56"/>
    <w:rsid w:val="006C4FDA"/>
    <w:rsid w:val="006C535B"/>
    <w:rsid w:val="006C61A2"/>
    <w:rsid w:val="006C7353"/>
    <w:rsid w:val="006D09F7"/>
    <w:rsid w:val="006D1C71"/>
    <w:rsid w:val="006D3877"/>
    <w:rsid w:val="006D389A"/>
    <w:rsid w:val="006D4481"/>
    <w:rsid w:val="006D472A"/>
    <w:rsid w:val="006D48B2"/>
    <w:rsid w:val="006E1D0D"/>
    <w:rsid w:val="006E43D3"/>
    <w:rsid w:val="006E66EE"/>
    <w:rsid w:val="006F057D"/>
    <w:rsid w:val="006F6046"/>
    <w:rsid w:val="006F6832"/>
    <w:rsid w:val="006F74E3"/>
    <w:rsid w:val="006F766B"/>
    <w:rsid w:val="007012E3"/>
    <w:rsid w:val="007019E4"/>
    <w:rsid w:val="00705258"/>
    <w:rsid w:val="00706A6E"/>
    <w:rsid w:val="00710D3B"/>
    <w:rsid w:val="0072159E"/>
    <w:rsid w:val="007217A3"/>
    <w:rsid w:val="0072218F"/>
    <w:rsid w:val="00725685"/>
    <w:rsid w:val="007308C7"/>
    <w:rsid w:val="00730D04"/>
    <w:rsid w:val="00731316"/>
    <w:rsid w:val="00731E3E"/>
    <w:rsid w:val="0073291B"/>
    <w:rsid w:val="0073408C"/>
    <w:rsid w:val="007372D1"/>
    <w:rsid w:val="00740225"/>
    <w:rsid w:val="007403B1"/>
    <w:rsid w:val="007420A4"/>
    <w:rsid w:val="00743CEC"/>
    <w:rsid w:val="0075463E"/>
    <w:rsid w:val="0075467A"/>
    <w:rsid w:val="00755214"/>
    <w:rsid w:val="0075630F"/>
    <w:rsid w:val="00756557"/>
    <w:rsid w:val="00756CFB"/>
    <w:rsid w:val="00757809"/>
    <w:rsid w:val="00763996"/>
    <w:rsid w:val="007641C2"/>
    <w:rsid w:val="007672E7"/>
    <w:rsid w:val="007700CA"/>
    <w:rsid w:val="007700EA"/>
    <w:rsid w:val="007711A8"/>
    <w:rsid w:val="0077727E"/>
    <w:rsid w:val="007813AB"/>
    <w:rsid w:val="00784406"/>
    <w:rsid w:val="007877DF"/>
    <w:rsid w:val="00787BAB"/>
    <w:rsid w:val="00790D83"/>
    <w:rsid w:val="00791B0A"/>
    <w:rsid w:val="00791D75"/>
    <w:rsid w:val="00793823"/>
    <w:rsid w:val="00795830"/>
    <w:rsid w:val="007961C1"/>
    <w:rsid w:val="00797184"/>
    <w:rsid w:val="007972BB"/>
    <w:rsid w:val="007A0C76"/>
    <w:rsid w:val="007A22E0"/>
    <w:rsid w:val="007A2EE6"/>
    <w:rsid w:val="007A5906"/>
    <w:rsid w:val="007A5E9A"/>
    <w:rsid w:val="007B0DB7"/>
    <w:rsid w:val="007B2A51"/>
    <w:rsid w:val="007B2B7D"/>
    <w:rsid w:val="007B2ED1"/>
    <w:rsid w:val="007B3E7B"/>
    <w:rsid w:val="007B4041"/>
    <w:rsid w:val="007B70BF"/>
    <w:rsid w:val="007C2B04"/>
    <w:rsid w:val="007C3763"/>
    <w:rsid w:val="007C6EC2"/>
    <w:rsid w:val="007C733D"/>
    <w:rsid w:val="007D0B38"/>
    <w:rsid w:val="007D0F93"/>
    <w:rsid w:val="007D226E"/>
    <w:rsid w:val="007D2E87"/>
    <w:rsid w:val="007D347C"/>
    <w:rsid w:val="007D3AB1"/>
    <w:rsid w:val="007D503A"/>
    <w:rsid w:val="007D6015"/>
    <w:rsid w:val="007D77D6"/>
    <w:rsid w:val="007D7BFC"/>
    <w:rsid w:val="007E11DD"/>
    <w:rsid w:val="007E22DB"/>
    <w:rsid w:val="007E3741"/>
    <w:rsid w:val="007F035D"/>
    <w:rsid w:val="007F03CC"/>
    <w:rsid w:val="007F3A17"/>
    <w:rsid w:val="007F3BB3"/>
    <w:rsid w:val="007F4B8F"/>
    <w:rsid w:val="007F4EC4"/>
    <w:rsid w:val="00803CAD"/>
    <w:rsid w:val="00803E4F"/>
    <w:rsid w:val="00804C6D"/>
    <w:rsid w:val="00810A77"/>
    <w:rsid w:val="00811629"/>
    <w:rsid w:val="00815EC8"/>
    <w:rsid w:val="0081630D"/>
    <w:rsid w:val="008167ED"/>
    <w:rsid w:val="00817CCB"/>
    <w:rsid w:val="008202AD"/>
    <w:rsid w:val="00820335"/>
    <w:rsid w:val="008213A9"/>
    <w:rsid w:val="00821765"/>
    <w:rsid w:val="0082278C"/>
    <w:rsid w:val="0083089E"/>
    <w:rsid w:val="0083156C"/>
    <w:rsid w:val="0083488B"/>
    <w:rsid w:val="00834D99"/>
    <w:rsid w:val="00835027"/>
    <w:rsid w:val="00837E3F"/>
    <w:rsid w:val="008428A4"/>
    <w:rsid w:val="00843EC3"/>
    <w:rsid w:val="008440F2"/>
    <w:rsid w:val="00844797"/>
    <w:rsid w:val="00844A2A"/>
    <w:rsid w:val="00844F2D"/>
    <w:rsid w:val="00847254"/>
    <w:rsid w:val="00847EC9"/>
    <w:rsid w:val="008538F7"/>
    <w:rsid w:val="0085519B"/>
    <w:rsid w:val="008551CB"/>
    <w:rsid w:val="00856CD2"/>
    <w:rsid w:val="0086288A"/>
    <w:rsid w:val="00866E99"/>
    <w:rsid w:val="00871960"/>
    <w:rsid w:val="00872C3F"/>
    <w:rsid w:val="008773C8"/>
    <w:rsid w:val="008779C0"/>
    <w:rsid w:val="00880506"/>
    <w:rsid w:val="00880D08"/>
    <w:rsid w:val="0088283D"/>
    <w:rsid w:val="00882A85"/>
    <w:rsid w:val="00884E6F"/>
    <w:rsid w:val="00891927"/>
    <w:rsid w:val="00892157"/>
    <w:rsid w:val="008950D3"/>
    <w:rsid w:val="008953B4"/>
    <w:rsid w:val="008A6050"/>
    <w:rsid w:val="008A6C84"/>
    <w:rsid w:val="008B0609"/>
    <w:rsid w:val="008B0886"/>
    <w:rsid w:val="008B75FF"/>
    <w:rsid w:val="008B7AD3"/>
    <w:rsid w:val="008C00BD"/>
    <w:rsid w:val="008C1406"/>
    <w:rsid w:val="008C20CF"/>
    <w:rsid w:val="008C3466"/>
    <w:rsid w:val="008D0280"/>
    <w:rsid w:val="008D1F90"/>
    <w:rsid w:val="008D5DEF"/>
    <w:rsid w:val="008E0CB1"/>
    <w:rsid w:val="008F496B"/>
    <w:rsid w:val="008F70DC"/>
    <w:rsid w:val="009057D3"/>
    <w:rsid w:val="009119C0"/>
    <w:rsid w:val="0091559F"/>
    <w:rsid w:val="00915DCF"/>
    <w:rsid w:val="00917819"/>
    <w:rsid w:val="00917B62"/>
    <w:rsid w:val="0092113F"/>
    <w:rsid w:val="00921459"/>
    <w:rsid w:val="0092367D"/>
    <w:rsid w:val="00926496"/>
    <w:rsid w:val="009307DB"/>
    <w:rsid w:val="00931110"/>
    <w:rsid w:val="00933894"/>
    <w:rsid w:val="00933A06"/>
    <w:rsid w:val="00936212"/>
    <w:rsid w:val="009429E4"/>
    <w:rsid w:val="00942A9C"/>
    <w:rsid w:val="00944C5F"/>
    <w:rsid w:val="009458A9"/>
    <w:rsid w:val="00946DFC"/>
    <w:rsid w:val="00953233"/>
    <w:rsid w:val="009535ED"/>
    <w:rsid w:val="00955B56"/>
    <w:rsid w:val="00957DA1"/>
    <w:rsid w:val="009619BE"/>
    <w:rsid w:val="00962663"/>
    <w:rsid w:val="0096289B"/>
    <w:rsid w:val="00963DB7"/>
    <w:rsid w:val="009711FD"/>
    <w:rsid w:val="00972618"/>
    <w:rsid w:val="00974365"/>
    <w:rsid w:val="00976458"/>
    <w:rsid w:val="00980A59"/>
    <w:rsid w:val="009823DC"/>
    <w:rsid w:val="00982A70"/>
    <w:rsid w:val="00982AA9"/>
    <w:rsid w:val="00984C47"/>
    <w:rsid w:val="00984FA7"/>
    <w:rsid w:val="009864DF"/>
    <w:rsid w:val="00987342"/>
    <w:rsid w:val="009907BF"/>
    <w:rsid w:val="009925CA"/>
    <w:rsid w:val="00993687"/>
    <w:rsid w:val="009A0EB8"/>
    <w:rsid w:val="009A12E2"/>
    <w:rsid w:val="009A1D5E"/>
    <w:rsid w:val="009A2BF6"/>
    <w:rsid w:val="009A77CC"/>
    <w:rsid w:val="009B1882"/>
    <w:rsid w:val="009B23B2"/>
    <w:rsid w:val="009B4862"/>
    <w:rsid w:val="009B611A"/>
    <w:rsid w:val="009B6364"/>
    <w:rsid w:val="009C09E9"/>
    <w:rsid w:val="009C2F54"/>
    <w:rsid w:val="009C399C"/>
    <w:rsid w:val="009C4D8C"/>
    <w:rsid w:val="009C5105"/>
    <w:rsid w:val="009C5A2D"/>
    <w:rsid w:val="009C6E01"/>
    <w:rsid w:val="009C7907"/>
    <w:rsid w:val="009C7F7D"/>
    <w:rsid w:val="009D091E"/>
    <w:rsid w:val="009D3670"/>
    <w:rsid w:val="009D7C82"/>
    <w:rsid w:val="009D7FE3"/>
    <w:rsid w:val="009E1977"/>
    <w:rsid w:val="009E3C47"/>
    <w:rsid w:val="009E3CFB"/>
    <w:rsid w:val="009F0D2C"/>
    <w:rsid w:val="009F1194"/>
    <w:rsid w:val="009F13FB"/>
    <w:rsid w:val="009F36B3"/>
    <w:rsid w:val="009F463E"/>
    <w:rsid w:val="009F5868"/>
    <w:rsid w:val="00A00193"/>
    <w:rsid w:val="00A03EFC"/>
    <w:rsid w:val="00A055FE"/>
    <w:rsid w:val="00A05FEB"/>
    <w:rsid w:val="00A14EAC"/>
    <w:rsid w:val="00A2147C"/>
    <w:rsid w:val="00A21BD0"/>
    <w:rsid w:val="00A236DB"/>
    <w:rsid w:val="00A23A55"/>
    <w:rsid w:val="00A25BA7"/>
    <w:rsid w:val="00A2620A"/>
    <w:rsid w:val="00A27883"/>
    <w:rsid w:val="00A316EB"/>
    <w:rsid w:val="00A3236F"/>
    <w:rsid w:val="00A32E64"/>
    <w:rsid w:val="00A33BA1"/>
    <w:rsid w:val="00A35D32"/>
    <w:rsid w:val="00A37951"/>
    <w:rsid w:val="00A37BF9"/>
    <w:rsid w:val="00A44552"/>
    <w:rsid w:val="00A44B7F"/>
    <w:rsid w:val="00A50CDC"/>
    <w:rsid w:val="00A51723"/>
    <w:rsid w:val="00A53842"/>
    <w:rsid w:val="00A53E08"/>
    <w:rsid w:val="00A546BE"/>
    <w:rsid w:val="00A568DC"/>
    <w:rsid w:val="00A63AC2"/>
    <w:rsid w:val="00A67878"/>
    <w:rsid w:val="00A7213E"/>
    <w:rsid w:val="00A738AD"/>
    <w:rsid w:val="00A755EA"/>
    <w:rsid w:val="00A76D5F"/>
    <w:rsid w:val="00A821C9"/>
    <w:rsid w:val="00A82D02"/>
    <w:rsid w:val="00A84F36"/>
    <w:rsid w:val="00A87375"/>
    <w:rsid w:val="00A92289"/>
    <w:rsid w:val="00A946AE"/>
    <w:rsid w:val="00A976CB"/>
    <w:rsid w:val="00A979CD"/>
    <w:rsid w:val="00AA013A"/>
    <w:rsid w:val="00AA02D5"/>
    <w:rsid w:val="00AA23E8"/>
    <w:rsid w:val="00AA25ED"/>
    <w:rsid w:val="00AB09A1"/>
    <w:rsid w:val="00AB23B3"/>
    <w:rsid w:val="00AB2FA7"/>
    <w:rsid w:val="00AB41AF"/>
    <w:rsid w:val="00AB42B1"/>
    <w:rsid w:val="00AB444A"/>
    <w:rsid w:val="00AB5908"/>
    <w:rsid w:val="00AB5D12"/>
    <w:rsid w:val="00AC2E69"/>
    <w:rsid w:val="00AC45FE"/>
    <w:rsid w:val="00AD095A"/>
    <w:rsid w:val="00AD1FBB"/>
    <w:rsid w:val="00AD3320"/>
    <w:rsid w:val="00AE050A"/>
    <w:rsid w:val="00AE07D9"/>
    <w:rsid w:val="00AE7B95"/>
    <w:rsid w:val="00AF0FE7"/>
    <w:rsid w:val="00AF2401"/>
    <w:rsid w:val="00AF2C86"/>
    <w:rsid w:val="00AF5865"/>
    <w:rsid w:val="00AF7142"/>
    <w:rsid w:val="00B016AF"/>
    <w:rsid w:val="00B055CA"/>
    <w:rsid w:val="00B063E6"/>
    <w:rsid w:val="00B06C53"/>
    <w:rsid w:val="00B11EF2"/>
    <w:rsid w:val="00B12369"/>
    <w:rsid w:val="00B12FE5"/>
    <w:rsid w:val="00B1546D"/>
    <w:rsid w:val="00B159D8"/>
    <w:rsid w:val="00B22063"/>
    <w:rsid w:val="00B22E73"/>
    <w:rsid w:val="00B24C1E"/>
    <w:rsid w:val="00B2718A"/>
    <w:rsid w:val="00B27CAA"/>
    <w:rsid w:val="00B327E0"/>
    <w:rsid w:val="00B33E20"/>
    <w:rsid w:val="00B33FE2"/>
    <w:rsid w:val="00B365BD"/>
    <w:rsid w:val="00B41A51"/>
    <w:rsid w:val="00B424EA"/>
    <w:rsid w:val="00B42D55"/>
    <w:rsid w:val="00B44099"/>
    <w:rsid w:val="00B45FBF"/>
    <w:rsid w:val="00B45FD1"/>
    <w:rsid w:val="00B46129"/>
    <w:rsid w:val="00B46769"/>
    <w:rsid w:val="00B46D5D"/>
    <w:rsid w:val="00B479F2"/>
    <w:rsid w:val="00B47EAD"/>
    <w:rsid w:val="00B55005"/>
    <w:rsid w:val="00B57B57"/>
    <w:rsid w:val="00B57ED5"/>
    <w:rsid w:val="00B61BD4"/>
    <w:rsid w:val="00B61CEF"/>
    <w:rsid w:val="00B63EB3"/>
    <w:rsid w:val="00B64623"/>
    <w:rsid w:val="00B64D30"/>
    <w:rsid w:val="00B65F18"/>
    <w:rsid w:val="00B72031"/>
    <w:rsid w:val="00B7562F"/>
    <w:rsid w:val="00B7645C"/>
    <w:rsid w:val="00B77FC4"/>
    <w:rsid w:val="00B819CE"/>
    <w:rsid w:val="00B831FD"/>
    <w:rsid w:val="00B83774"/>
    <w:rsid w:val="00B90A1F"/>
    <w:rsid w:val="00B915C5"/>
    <w:rsid w:val="00B91F5A"/>
    <w:rsid w:val="00B928A6"/>
    <w:rsid w:val="00B93F0B"/>
    <w:rsid w:val="00B950E5"/>
    <w:rsid w:val="00BA464F"/>
    <w:rsid w:val="00BA4B5B"/>
    <w:rsid w:val="00BA78F0"/>
    <w:rsid w:val="00BA7968"/>
    <w:rsid w:val="00BA7F2A"/>
    <w:rsid w:val="00BB0876"/>
    <w:rsid w:val="00BB3B9B"/>
    <w:rsid w:val="00BB536E"/>
    <w:rsid w:val="00BB66A8"/>
    <w:rsid w:val="00BB6EE2"/>
    <w:rsid w:val="00BC19DF"/>
    <w:rsid w:val="00BC4D9E"/>
    <w:rsid w:val="00BC6455"/>
    <w:rsid w:val="00BC7056"/>
    <w:rsid w:val="00BD0236"/>
    <w:rsid w:val="00BD02F4"/>
    <w:rsid w:val="00BD1A58"/>
    <w:rsid w:val="00BD1AB2"/>
    <w:rsid w:val="00BD3F95"/>
    <w:rsid w:val="00BD3FB1"/>
    <w:rsid w:val="00BD76B8"/>
    <w:rsid w:val="00BD76D8"/>
    <w:rsid w:val="00BE1D87"/>
    <w:rsid w:val="00BE52EA"/>
    <w:rsid w:val="00BE5ADF"/>
    <w:rsid w:val="00BE71CD"/>
    <w:rsid w:val="00BE7B0E"/>
    <w:rsid w:val="00BF1F9A"/>
    <w:rsid w:val="00C0036B"/>
    <w:rsid w:val="00C00EB0"/>
    <w:rsid w:val="00C034DD"/>
    <w:rsid w:val="00C04524"/>
    <w:rsid w:val="00C04EE2"/>
    <w:rsid w:val="00C06D6F"/>
    <w:rsid w:val="00C11542"/>
    <w:rsid w:val="00C142C6"/>
    <w:rsid w:val="00C14710"/>
    <w:rsid w:val="00C23E4F"/>
    <w:rsid w:val="00C23FAE"/>
    <w:rsid w:val="00C31478"/>
    <w:rsid w:val="00C32C99"/>
    <w:rsid w:val="00C33001"/>
    <w:rsid w:val="00C33EA7"/>
    <w:rsid w:val="00C34D4A"/>
    <w:rsid w:val="00C35609"/>
    <w:rsid w:val="00C36861"/>
    <w:rsid w:val="00C37827"/>
    <w:rsid w:val="00C43499"/>
    <w:rsid w:val="00C453F7"/>
    <w:rsid w:val="00C45ED0"/>
    <w:rsid w:val="00C47704"/>
    <w:rsid w:val="00C534AC"/>
    <w:rsid w:val="00C553C6"/>
    <w:rsid w:val="00C60004"/>
    <w:rsid w:val="00C619EB"/>
    <w:rsid w:val="00C65ED4"/>
    <w:rsid w:val="00C707DF"/>
    <w:rsid w:val="00C71AA5"/>
    <w:rsid w:val="00C7269D"/>
    <w:rsid w:val="00C73D04"/>
    <w:rsid w:val="00C77480"/>
    <w:rsid w:val="00C81DD5"/>
    <w:rsid w:val="00C9068C"/>
    <w:rsid w:val="00C961B4"/>
    <w:rsid w:val="00C9669D"/>
    <w:rsid w:val="00CA1AC9"/>
    <w:rsid w:val="00CA1D66"/>
    <w:rsid w:val="00CA2339"/>
    <w:rsid w:val="00CA4E70"/>
    <w:rsid w:val="00CA6B01"/>
    <w:rsid w:val="00CB35A5"/>
    <w:rsid w:val="00CB4F0F"/>
    <w:rsid w:val="00CB58DC"/>
    <w:rsid w:val="00CB6849"/>
    <w:rsid w:val="00CB6C52"/>
    <w:rsid w:val="00CB76AD"/>
    <w:rsid w:val="00CC43B8"/>
    <w:rsid w:val="00CC44D9"/>
    <w:rsid w:val="00CC5255"/>
    <w:rsid w:val="00CC5565"/>
    <w:rsid w:val="00CC6EE7"/>
    <w:rsid w:val="00CD00B9"/>
    <w:rsid w:val="00CD20A4"/>
    <w:rsid w:val="00CD7323"/>
    <w:rsid w:val="00CD7A9A"/>
    <w:rsid w:val="00CE39FC"/>
    <w:rsid w:val="00CE5ADE"/>
    <w:rsid w:val="00CF0672"/>
    <w:rsid w:val="00CF6FCB"/>
    <w:rsid w:val="00D00004"/>
    <w:rsid w:val="00D01B1D"/>
    <w:rsid w:val="00D02383"/>
    <w:rsid w:val="00D028FF"/>
    <w:rsid w:val="00D050F7"/>
    <w:rsid w:val="00D05CDA"/>
    <w:rsid w:val="00D06623"/>
    <w:rsid w:val="00D06D5B"/>
    <w:rsid w:val="00D16122"/>
    <w:rsid w:val="00D17035"/>
    <w:rsid w:val="00D20414"/>
    <w:rsid w:val="00D21C73"/>
    <w:rsid w:val="00D22331"/>
    <w:rsid w:val="00D2584B"/>
    <w:rsid w:val="00D304A2"/>
    <w:rsid w:val="00D329F6"/>
    <w:rsid w:val="00D336A3"/>
    <w:rsid w:val="00D34B84"/>
    <w:rsid w:val="00D35BB2"/>
    <w:rsid w:val="00D37EA0"/>
    <w:rsid w:val="00D40678"/>
    <w:rsid w:val="00D414DC"/>
    <w:rsid w:val="00D41D86"/>
    <w:rsid w:val="00D42AE2"/>
    <w:rsid w:val="00D44457"/>
    <w:rsid w:val="00D5202D"/>
    <w:rsid w:val="00D55A7F"/>
    <w:rsid w:val="00D602BF"/>
    <w:rsid w:val="00D62390"/>
    <w:rsid w:val="00D62A4C"/>
    <w:rsid w:val="00D667FB"/>
    <w:rsid w:val="00D66932"/>
    <w:rsid w:val="00D676F0"/>
    <w:rsid w:val="00D711C9"/>
    <w:rsid w:val="00D71730"/>
    <w:rsid w:val="00D73DA9"/>
    <w:rsid w:val="00D741BC"/>
    <w:rsid w:val="00D75849"/>
    <w:rsid w:val="00D762F0"/>
    <w:rsid w:val="00D7633E"/>
    <w:rsid w:val="00D805FB"/>
    <w:rsid w:val="00D81171"/>
    <w:rsid w:val="00D8261A"/>
    <w:rsid w:val="00D8490B"/>
    <w:rsid w:val="00D86E88"/>
    <w:rsid w:val="00D939A4"/>
    <w:rsid w:val="00D95B9A"/>
    <w:rsid w:val="00DA005D"/>
    <w:rsid w:val="00DA0895"/>
    <w:rsid w:val="00DA1D60"/>
    <w:rsid w:val="00DA334C"/>
    <w:rsid w:val="00DA5189"/>
    <w:rsid w:val="00DA615C"/>
    <w:rsid w:val="00DA64C0"/>
    <w:rsid w:val="00DA6BEC"/>
    <w:rsid w:val="00DB4393"/>
    <w:rsid w:val="00DB7893"/>
    <w:rsid w:val="00DC0B87"/>
    <w:rsid w:val="00DC10A1"/>
    <w:rsid w:val="00DC1CA2"/>
    <w:rsid w:val="00DC235C"/>
    <w:rsid w:val="00DC23DB"/>
    <w:rsid w:val="00DC28CB"/>
    <w:rsid w:val="00DC30CC"/>
    <w:rsid w:val="00DC3C11"/>
    <w:rsid w:val="00DC5D2D"/>
    <w:rsid w:val="00DD3BC2"/>
    <w:rsid w:val="00DD4349"/>
    <w:rsid w:val="00DD4ACC"/>
    <w:rsid w:val="00DD6E4E"/>
    <w:rsid w:val="00DE0234"/>
    <w:rsid w:val="00DE058D"/>
    <w:rsid w:val="00DE1E4D"/>
    <w:rsid w:val="00DE75EB"/>
    <w:rsid w:val="00DE7C10"/>
    <w:rsid w:val="00DF4AC2"/>
    <w:rsid w:val="00DF5A0F"/>
    <w:rsid w:val="00DF76DD"/>
    <w:rsid w:val="00DF7711"/>
    <w:rsid w:val="00E04340"/>
    <w:rsid w:val="00E06A4F"/>
    <w:rsid w:val="00E141A8"/>
    <w:rsid w:val="00E20C3E"/>
    <w:rsid w:val="00E20E4F"/>
    <w:rsid w:val="00E21A7F"/>
    <w:rsid w:val="00E22783"/>
    <w:rsid w:val="00E23562"/>
    <w:rsid w:val="00E238C6"/>
    <w:rsid w:val="00E246F3"/>
    <w:rsid w:val="00E25A8F"/>
    <w:rsid w:val="00E25D4C"/>
    <w:rsid w:val="00E262E0"/>
    <w:rsid w:val="00E2647B"/>
    <w:rsid w:val="00E2677F"/>
    <w:rsid w:val="00E31FE9"/>
    <w:rsid w:val="00E35F91"/>
    <w:rsid w:val="00E3724C"/>
    <w:rsid w:val="00E4212B"/>
    <w:rsid w:val="00E4236F"/>
    <w:rsid w:val="00E4658A"/>
    <w:rsid w:val="00E467CC"/>
    <w:rsid w:val="00E54263"/>
    <w:rsid w:val="00E55BF3"/>
    <w:rsid w:val="00E61A9C"/>
    <w:rsid w:val="00E63354"/>
    <w:rsid w:val="00E65ED6"/>
    <w:rsid w:val="00E65F31"/>
    <w:rsid w:val="00E669A3"/>
    <w:rsid w:val="00E672B5"/>
    <w:rsid w:val="00E709E6"/>
    <w:rsid w:val="00E72D8F"/>
    <w:rsid w:val="00E73D5E"/>
    <w:rsid w:val="00E74089"/>
    <w:rsid w:val="00E80E70"/>
    <w:rsid w:val="00E836D7"/>
    <w:rsid w:val="00E867D7"/>
    <w:rsid w:val="00E91004"/>
    <w:rsid w:val="00E95ECE"/>
    <w:rsid w:val="00E965E2"/>
    <w:rsid w:val="00EA24C3"/>
    <w:rsid w:val="00EA3D23"/>
    <w:rsid w:val="00EA3FE6"/>
    <w:rsid w:val="00EA536F"/>
    <w:rsid w:val="00EA7D38"/>
    <w:rsid w:val="00EB2419"/>
    <w:rsid w:val="00EB25FC"/>
    <w:rsid w:val="00EB4453"/>
    <w:rsid w:val="00EB4C71"/>
    <w:rsid w:val="00EB5A8C"/>
    <w:rsid w:val="00EC4A2E"/>
    <w:rsid w:val="00EC5C7A"/>
    <w:rsid w:val="00EC6322"/>
    <w:rsid w:val="00EC7006"/>
    <w:rsid w:val="00ED1EC8"/>
    <w:rsid w:val="00ED26F5"/>
    <w:rsid w:val="00ED2E45"/>
    <w:rsid w:val="00ED4B54"/>
    <w:rsid w:val="00ED52A7"/>
    <w:rsid w:val="00ED7722"/>
    <w:rsid w:val="00ED78DD"/>
    <w:rsid w:val="00EE1DF3"/>
    <w:rsid w:val="00EE36C2"/>
    <w:rsid w:val="00EE4617"/>
    <w:rsid w:val="00EE5643"/>
    <w:rsid w:val="00EE6CEF"/>
    <w:rsid w:val="00EF25C4"/>
    <w:rsid w:val="00EF6D20"/>
    <w:rsid w:val="00EF7195"/>
    <w:rsid w:val="00EF7333"/>
    <w:rsid w:val="00F0499F"/>
    <w:rsid w:val="00F04F02"/>
    <w:rsid w:val="00F05BA8"/>
    <w:rsid w:val="00F11A56"/>
    <w:rsid w:val="00F120A9"/>
    <w:rsid w:val="00F21A1D"/>
    <w:rsid w:val="00F22531"/>
    <w:rsid w:val="00F22539"/>
    <w:rsid w:val="00F2261E"/>
    <w:rsid w:val="00F237B0"/>
    <w:rsid w:val="00F23807"/>
    <w:rsid w:val="00F2602A"/>
    <w:rsid w:val="00F268A4"/>
    <w:rsid w:val="00F276FF"/>
    <w:rsid w:val="00F27A8F"/>
    <w:rsid w:val="00F32E77"/>
    <w:rsid w:val="00F35802"/>
    <w:rsid w:val="00F36656"/>
    <w:rsid w:val="00F36743"/>
    <w:rsid w:val="00F44ED4"/>
    <w:rsid w:val="00F4761E"/>
    <w:rsid w:val="00F47E7F"/>
    <w:rsid w:val="00F602B5"/>
    <w:rsid w:val="00F64D90"/>
    <w:rsid w:val="00F66416"/>
    <w:rsid w:val="00F7047D"/>
    <w:rsid w:val="00F70A05"/>
    <w:rsid w:val="00F71345"/>
    <w:rsid w:val="00F7438B"/>
    <w:rsid w:val="00F74AE3"/>
    <w:rsid w:val="00F75800"/>
    <w:rsid w:val="00F803D8"/>
    <w:rsid w:val="00F81642"/>
    <w:rsid w:val="00F829E3"/>
    <w:rsid w:val="00F90323"/>
    <w:rsid w:val="00F90ED5"/>
    <w:rsid w:val="00F928E7"/>
    <w:rsid w:val="00F95E2E"/>
    <w:rsid w:val="00F97340"/>
    <w:rsid w:val="00F976C5"/>
    <w:rsid w:val="00FA1F19"/>
    <w:rsid w:val="00FA2E68"/>
    <w:rsid w:val="00FA41C9"/>
    <w:rsid w:val="00FA4DCC"/>
    <w:rsid w:val="00FB08FD"/>
    <w:rsid w:val="00FB672B"/>
    <w:rsid w:val="00FB739E"/>
    <w:rsid w:val="00FC086B"/>
    <w:rsid w:val="00FC17CB"/>
    <w:rsid w:val="00FC2A47"/>
    <w:rsid w:val="00FC5D06"/>
    <w:rsid w:val="00FC6831"/>
    <w:rsid w:val="00FC6B69"/>
    <w:rsid w:val="00FC71CB"/>
    <w:rsid w:val="00FC7E12"/>
    <w:rsid w:val="00FD12EE"/>
    <w:rsid w:val="00FD2246"/>
    <w:rsid w:val="00FD28E3"/>
    <w:rsid w:val="00FE2F6D"/>
    <w:rsid w:val="00FE6217"/>
    <w:rsid w:val="00FE64DB"/>
    <w:rsid w:val="00FE75F8"/>
    <w:rsid w:val="00FE772B"/>
    <w:rsid w:val="00FE7D1D"/>
    <w:rsid w:val="00FF2FC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CD74A2"/>
  <w15:docId w15:val="{8F1EB59E-00DB-49E2-9C18-CB276E7D4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55214"/>
    <w:pPr>
      <w:spacing w:line="240" w:lineRule="auto"/>
      <w:jc w:val="both"/>
    </w:pPr>
    <w:rPr>
      <w:color w:val="000000" w:themeColor="text1"/>
      <w:lang w:val="en-GB"/>
    </w:rPr>
  </w:style>
  <w:style w:type="paragraph" w:styleId="Titolo1">
    <w:name w:val="heading 1"/>
    <w:basedOn w:val="Normale"/>
    <w:next w:val="Normale"/>
    <w:link w:val="Titolo1Carattere"/>
    <w:uiPriority w:val="9"/>
    <w:qFormat/>
    <w:rsid w:val="001030E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next w:val="Normale"/>
    <w:link w:val="Titolo2Carattere"/>
    <w:uiPriority w:val="9"/>
    <w:unhideWhenUsed/>
    <w:qFormat/>
    <w:rsid w:val="006534D8"/>
    <w:pPr>
      <w:keepNext/>
      <w:keepLines/>
      <w:spacing w:before="40" w:after="0"/>
      <w:outlineLvl w:val="1"/>
    </w:pPr>
    <w:rPr>
      <w:rFonts w:asciiTheme="majorHAnsi" w:eastAsiaTheme="majorEastAsia" w:hAnsiTheme="majorHAnsi" w:cstheme="majorBidi"/>
      <w:b/>
      <w:bCs/>
      <w:sz w:val="26"/>
      <w:szCs w:val="26"/>
    </w:rPr>
  </w:style>
  <w:style w:type="paragraph" w:styleId="Titolo3">
    <w:name w:val="heading 3"/>
    <w:basedOn w:val="Normale"/>
    <w:next w:val="Normale"/>
    <w:link w:val="Titolo3Carattere"/>
    <w:uiPriority w:val="9"/>
    <w:unhideWhenUsed/>
    <w:qFormat/>
    <w:rsid w:val="00537322"/>
    <w:pPr>
      <w:keepNext/>
      <w:keepLines/>
      <w:numPr>
        <w:ilvl w:val="1"/>
        <w:numId w:val="4"/>
      </w:numPr>
      <w:spacing w:before="360" w:after="120"/>
      <w:outlineLvl w:val="2"/>
    </w:pPr>
    <w:rPr>
      <w:rFonts w:asciiTheme="majorHAnsi" w:eastAsia="Times New Roman" w:hAnsiTheme="majorHAnsi" w:cstheme="majorBidi"/>
      <w:i/>
      <w:sz w:val="24"/>
      <w:szCs w:val="24"/>
      <w:lang w:val="en-US" w:eastAsia="it-IT"/>
    </w:rPr>
  </w:style>
  <w:style w:type="paragraph" w:styleId="Titolo4">
    <w:name w:val="heading 4"/>
    <w:basedOn w:val="Normale"/>
    <w:next w:val="Normale"/>
    <w:link w:val="Titolo4Carattere"/>
    <w:uiPriority w:val="9"/>
    <w:semiHidden/>
    <w:unhideWhenUsed/>
    <w:qFormat/>
    <w:rsid w:val="008538F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030ED"/>
    <w:rPr>
      <w:rFonts w:asciiTheme="majorHAnsi" w:eastAsiaTheme="majorEastAsia" w:hAnsiTheme="majorHAnsi" w:cstheme="majorBidi"/>
      <w:color w:val="365F91" w:themeColor="accent1" w:themeShade="BF"/>
      <w:sz w:val="32"/>
      <w:szCs w:val="32"/>
    </w:rPr>
  </w:style>
  <w:style w:type="paragraph" w:styleId="Titolo">
    <w:name w:val="Title"/>
    <w:basedOn w:val="Normale"/>
    <w:link w:val="TitoloCarattere"/>
    <w:qFormat/>
    <w:rsid w:val="001030ED"/>
    <w:pPr>
      <w:spacing w:before="100" w:beforeAutospacing="1" w:after="120"/>
      <w:jc w:val="center"/>
      <w:outlineLvl w:val="0"/>
    </w:pPr>
    <w:rPr>
      <w:rFonts w:ascii="Arial" w:eastAsia="Times New Roman" w:hAnsi="Arial" w:cs="Times New Roman"/>
      <w:b/>
      <w:kern w:val="28"/>
      <w:sz w:val="36"/>
      <w:szCs w:val="20"/>
      <w:lang w:val="en-US"/>
    </w:rPr>
  </w:style>
  <w:style w:type="character" w:customStyle="1" w:styleId="TitoloCarattere">
    <w:name w:val="Titolo Carattere"/>
    <w:basedOn w:val="Carpredefinitoparagrafo"/>
    <w:link w:val="Titolo"/>
    <w:rsid w:val="001030ED"/>
    <w:rPr>
      <w:rFonts w:ascii="Arial" w:eastAsia="Times New Roman" w:hAnsi="Arial" w:cs="Times New Roman"/>
      <w:b/>
      <w:kern w:val="28"/>
      <w:sz w:val="36"/>
      <w:szCs w:val="20"/>
      <w:lang w:val="en-US"/>
    </w:rPr>
  </w:style>
  <w:style w:type="character" w:customStyle="1" w:styleId="Titolo2Carattere">
    <w:name w:val="Titolo 2 Carattere"/>
    <w:basedOn w:val="Carpredefinitoparagrafo"/>
    <w:link w:val="Titolo2"/>
    <w:uiPriority w:val="9"/>
    <w:rsid w:val="006534D8"/>
    <w:rPr>
      <w:rFonts w:asciiTheme="majorHAnsi" w:eastAsiaTheme="majorEastAsia" w:hAnsiTheme="majorHAnsi" w:cstheme="majorBidi"/>
      <w:b/>
      <w:bCs/>
      <w:color w:val="000000" w:themeColor="text1"/>
      <w:sz w:val="26"/>
      <w:szCs w:val="26"/>
      <w:lang w:val="en-GB"/>
    </w:rPr>
  </w:style>
  <w:style w:type="character" w:customStyle="1" w:styleId="Titolo3Carattere">
    <w:name w:val="Titolo 3 Carattere"/>
    <w:basedOn w:val="Carpredefinitoparagrafo"/>
    <w:link w:val="Titolo3"/>
    <w:uiPriority w:val="9"/>
    <w:rsid w:val="00537322"/>
    <w:rPr>
      <w:rFonts w:asciiTheme="majorHAnsi" w:eastAsia="Times New Roman" w:hAnsiTheme="majorHAnsi" w:cstheme="majorBidi"/>
      <w:i/>
      <w:color w:val="000000" w:themeColor="text1"/>
      <w:sz w:val="24"/>
      <w:szCs w:val="24"/>
      <w:lang w:val="en-US" w:eastAsia="it-IT"/>
    </w:rPr>
  </w:style>
  <w:style w:type="table" w:styleId="Tabellaconombreggiatura1">
    <w:name w:val="Table Subtle 1"/>
    <w:basedOn w:val="Tabellanormale"/>
    <w:uiPriority w:val="99"/>
    <w:rsid w:val="00C7269D"/>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aragrafoelenco">
    <w:name w:val="List Paragraph"/>
    <w:basedOn w:val="Normale"/>
    <w:uiPriority w:val="34"/>
    <w:qFormat/>
    <w:rsid w:val="00F75800"/>
    <w:pPr>
      <w:ind w:left="720"/>
      <w:contextualSpacing/>
    </w:pPr>
  </w:style>
  <w:style w:type="paragraph" w:styleId="Intestazione">
    <w:name w:val="header"/>
    <w:basedOn w:val="Normale"/>
    <w:link w:val="IntestazioneCarattere"/>
    <w:uiPriority w:val="99"/>
    <w:unhideWhenUsed/>
    <w:rsid w:val="002A4ED7"/>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2A4ED7"/>
    <w:rPr>
      <w:color w:val="000000" w:themeColor="text1"/>
      <w:lang w:val="en-GB"/>
    </w:rPr>
  </w:style>
  <w:style w:type="paragraph" w:styleId="Pidipagina">
    <w:name w:val="footer"/>
    <w:basedOn w:val="Normale"/>
    <w:link w:val="PidipaginaCarattere"/>
    <w:uiPriority w:val="99"/>
    <w:unhideWhenUsed/>
    <w:rsid w:val="002A4ED7"/>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2A4ED7"/>
    <w:rPr>
      <w:color w:val="000000" w:themeColor="text1"/>
      <w:lang w:val="en-GB"/>
    </w:rPr>
  </w:style>
  <w:style w:type="character" w:customStyle="1" w:styleId="Titolo4Carattere">
    <w:name w:val="Titolo 4 Carattere"/>
    <w:basedOn w:val="Carpredefinitoparagrafo"/>
    <w:link w:val="Titolo4"/>
    <w:uiPriority w:val="9"/>
    <w:semiHidden/>
    <w:rsid w:val="008538F7"/>
    <w:rPr>
      <w:rFonts w:asciiTheme="majorHAnsi" w:eastAsiaTheme="majorEastAsia" w:hAnsiTheme="majorHAnsi" w:cstheme="majorBidi"/>
      <w:i/>
      <w:iCs/>
      <w:color w:val="365F91" w:themeColor="accent1" w:themeShade="BF"/>
      <w:lang w:val="en-GB"/>
    </w:rPr>
  </w:style>
  <w:style w:type="table" w:styleId="Grigliatabella">
    <w:name w:val="Table Grid"/>
    <w:basedOn w:val="Tabellanormale"/>
    <w:uiPriority w:val="59"/>
    <w:rsid w:val="00A33B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481321"/>
    <w:rPr>
      <w:color w:val="808080"/>
    </w:rPr>
  </w:style>
  <w:style w:type="character" w:styleId="Collegamentoipertestuale">
    <w:name w:val="Hyperlink"/>
    <w:basedOn w:val="Carpredefinitoparagrafo"/>
    <w:uiPriority w:val="99"/>
    <w:unhideWhenUsed/>
    <w:rsid w:val="00E95ECE"/>
    <w:rPr>
      <w:color w:val="0000FF"/>
      <w:u w:val="single"/>
    </w:rPr>
  </w:style>
  <w:style w:type="character" w:styleId="Collegamentovisitato">
    <w:name w:val="FollowedHyperlink"/>
    <w:basedOn w:val="Carpredefinitoparagrafo"/>
    <w:uiPriority w:val="99"/>
    <w:semiHidden/>
    <w:unhideWhenUsed/>
    <w:rsid w:val="00CA2339"/>
    <w:rPr>
      <w:color w:val="800080" w:themeColor="followedHyperlink"/>
      <w:u w:val="single"/>
    </w:rPr>
  </w:style>
  <w:style w:type="paragraph" w:styleId="Revisione">
    <w:name w:val="Revision"/>
    <w:hidden/>
    <w:uiPriority w:val="99"/>
    <w:semiHidden/>
    <w:rsid w:val="00165B01"/>
    <w:pPr>
      <w:spacing w:after="0" w:line="240" w:lineRule="auto"/>
    </w:pPr>
    <w:rPr>
      <w:color w:val="000000" w:themeColor="text1"/>
      <w:lang w:val="en-GB"/>
    </w:rPr>
  </w:style>
  <w:style w:type="character" w:styleId="Rimandocommento">
    <w:name w:val="annotation reference"/>
    <w:basedOn w:val="Carpredefinitoparagrafo"/>
    <w:uiPriority w:val="99"/>
    <w:semiHidden/>
    <w:unhideWhenUsed/>
    <w:rsid w:val="00165B01"/>
    <w:rPr>
      <w:sz w:val="16"/>
      <w:szCs w:val="16"/>
    </w:rPr>
  </w:style>
  <w:style w:type="paragraph" w:styleId="Testocommento">
    <w:name w:val="annotation text"/>
    <w:basedOn w:val="Normale"/>
    <w:link w:val="TestocommentoCarattere"/>
    <w:uiPriority w:val="99"/>
    <w:unhideWhenUsed/>
    <w:rsid w:val="00165B01"/>
    <w:rPr>
      <w:sz w:val="20"/>
      <w:szCs w:val="20"/>
    </w:rPr>
  </w:style>
  <w:style w:type="character" w:customStyle="1" w:styleId="TestocommentoCarattere">
    <w:name w:val="Testo commento Carattere"/>
    <w:basedOn w:val="Carpredefinitoparagrafo"/>
    <w:link w:val="Testocommento"/>
    <w:uiPriority w:val="99"/>
    <w:rsid w:val="00165B01"/>
    <w:rPr>
      <w:color w:val="000000" w:themeColor="text1"/>
      <w:sz w:val="20"/>
      <w:szCs w:val="20"/>
      <w:lang w:val="en-GB"/>
    </w:rPr>
  </w:style>
  <w:style w:type="paragraph" w:styleId="Soggettocommento">
    <w:name w:val="annotation subject"/>
    <w:basedOn w:val="Testocommento"/>
    <w:next w:val="Testocommento"/>
    <w:link w:val="SoggettocommentoCarattere"/>
    <w:uiPriority w:val="99"/>
    <w:semiHidden/>
    <w:unhideWhenUsed/>
    <w:rsid w:val="00165B01"/>
    <w:rPr>
      <w:b/>
      <w:bCs/>
    </w:rPr>
  </w:style>
  <w:style w:type="character" w:customStyle="1" w:styleId="SoggettocommentoCarattere">
    <w:name w:val="Soggetto commento Carattere"/>
    <w:basedOn w:val="TestocommentoCarattere"/>
    <w:link w:val="Soggettocommento"/>
    <w:uiPriority w:val="99"/>
    <w:semiHidden/>
    <w:rsid w:val="00165B01"/>
    <w:rPr>
      <w:b/>
      <w:bCs/>
      <w:color w:val="000000" w:themeColor="text1"/>
      <w:sz w:val="20"/>
      <w:szCs w:val="20"/>
      <w:lang w:val="en-GB"/>
    </w:rPr>
  </w:style>
  <w:style w:type="paragraph" w:styleId="Testofumetto">
    <w:name w:val="Balloon Text"/>
    <w:basedOn w:val="Normale"/>
    <w:link w:val="TestofumettoCarattere"/>
    <w:uiPriority w:val="99"/>
    <w:semiHidden/>
    <w:unhideWhenUsed/>
    <w:rsid w:val="00D329F6"/>
    <w:pPr>
      <w:spacing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329F6"/>
    <w:rPr>
      <w:rFonts w:ascii="Tahoma" w:hAnsi="Tahoma" w:cs="Tahoma"/>
      <w:color w:val="000000" w:themeColor="text1"/>
      <w:sz w:val="16"/>
      <w:szCs w:val="16"/>
      <w:lang w:val="en-GB"/>
    </w:rPr>
  </w:style>
  <w:style w:type="character" w:customStyle="1" w:styleId="Menzionenonrisolta1">
    <w:name w:val="Menzione non risolta1"/>
    <w:basedOn w:val="Carpredefinitoparagrafo"/>
    <w:uiPriority w:val="99"/>
    <w:semiHidden/>
    <w:unhideWhenUsed/>
    <w:rsid w:val="00540F3E"/>
    <w:rPr>
      <w:color w:val="605E5C"/>
      <w:shd w:val="clear" w:color="auto" w:fill="E1DFDD"/>
    </w:rPr>
  </w:style>
  <w:style w:type="character" w:styleId="Numeroriga">
    <w:name w:val="line number"/>
    <w:basedOn w:val="Carpredefinitoparagrafo"/>
    <w:uiPriority w:val="99"/>
    <w:semiHidden/>
    <w:unhideWhenUsed/>
    <w:rsid w:val="005C59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866633">
      <w:bodyDiv w:val="1"/>
      <w:marLeft w:val="0"/>
      <w:marRight w:val="0"/>
      <w:marTop w:val="0"/>
      <w:marBottom w:val="0"/>
      <w:divBdr>
        <w:top w:val="none" w:sz="0" w:space="0" w:color="auto"/>
        <w:left w:val="none" w:sz="0" w:space="0" w:color="auto"/>
        <w:bottom w:val="none" w:sz="0" w:space="0" w:color="auto"/>
        <w:right w:val="none" w:sz="0" w:space="0" w:color="auto"/>
      </w:divBdr>
    </w:div>
    <w:div w:id="195241457">
      <w:bodyDiv w:val="1"/>
      <w:marLeft w:val="0"/>
      <w:marRight w:val="0"/>
      <w:marTop w:val="0"/>
      <w:marBottom w:val="0"/>
      <w:divBdr>
        <w:top w:val="none" w:sz="0" w:space="0" w:color="auto"/>
        <w:left w:val="none" w:sz="0" w:space="0" w:color="auto"/>
        <w:bottom w:val="none" w:sz="0" w:space="0" w:color="auto"/>
        <w:right w:val="none" w:sz="0" w:space="0" w:color="auto"/>
      </w:divBdr>
    </w:div>
    <w:div w:id="263346759">
      <w:bodyDiv w:val="1"/>
      <w:marLeft w:val="0"/>
      <w:marRight w:val="0"/>
      <w:marTop w:val="0"/>
      <w:marBottom w:val="0"/>
      <w:divBdr>
        <w:top w:val="none" w:sz="0" w:space="0" w:color="auto"/>
        <w:left w:val="none" w:sz="0" w:space="0" w:color="auto"/>
        <w:bottom w:val="none" w:sz="0" w:space="0" w:color="auto"/>
        <w:right w:val="none" w:sz="0" w:space="0" w:color="auto"/>
      </w:divBdr>
    </w:div>
    <w:div w:id="452481974">
      <w:bodyDiv w:val="1"/>
      <w:marLeft w:val="0"/>
      <w:marRight w:val="0"/>
      <w:marTop w:val="0"/>
      <w:marBottom w:val="0"/>
      <w:divBdr>
        <w:top w:val="none" w:sz="0" w:space="0" w:color="auto"/>
        <w:left w:val="none" w:sz="0" w:space="0" w:color="auto"/>
        <w:bottom w:val="none" w:sz="0" w:space="0" w:color="auto"/>
        <w:right w:val="none" w:sz="0" w:space="0" w:color="auto"/>
      </w:divBdr>
      <w:divsChild>
        <w:div w:id="648172954">
          <w:marLeft w:val="480"/>
          <w:marRight w:val="0"/>
          <w:marTop w:val="0"/>
          <w:marBottom w:val="0"/>
          <w:divBdr>
            <w:top w:val="none" w:sz="0" w:space="0" w:color="auto"/>
            <w:left w:val="none" w:sz="0" w:space="0" w:color="auto"/>
            <w:bottom w:val="none" w:sz="0" w:space="0" w:color="auto"/>
            <w:right w:val="none" w:sz="0" w:space="0" w:color="auto"/>
          </w:divBdr>
        </w:div>
        <w:div w:id="180704885">
          <w:marLeft w:val="480"/>
          <w:marRight w:val="0"/>
          <w:marTop w:val="0"/>
          <w:marBottom w:val="0"/>
          <w:divBdr>
            <w:top w:val="none" w:sz="0" w:space="0" w:color="auto"/>
            <w:left w:val="none" w:sz="0" w:space="0" w:color="auto"/>
            <w:bottom w:val="none" w:sz="0" w:space="0" w:color="auto"/>
            <w:right w:val="none" w:sz="0" w:space="0" w:color="auto"/>
          </w:divBdr>
        </w:div>
        <w:div w:id="1621839335">
          <w:marLeft w:val="480"/>
          <w:marRight w:val="0"/>
          <w:marTop w:val="0"/>
          <w:marBottom w:val="0"/>
          <w:divBdr>
            <w:top w:val="none" w:sz="0" w:space="0" w:color="auto"/>
            <w:left w:val="none" w:sz="0" w:space="0" w:color="auto"/>
            <w:bottom w:val="none" w:sz="0" w:space="0" w:color="auto"/>
            <w:right w:val="none" w:sz="0" w:space="0" w:color="auto"/>
          </w:divBdr>
        </w:div>
        <w:div w:id="681519103">
          <w:marLeft w:val="480"/>
          <w:marRight w:val="0"/>
          <w:marTop w:val="0"/>
          <w:marBottom w:val="0"/>
          <w:divBdr>
            <w:top w:val="none" w:sz="0" w:space="0" w:color="auto"/>
            <w:left w:val="none" w:sz="0" w:space="0" w:color="auto"/>
            <w:bottom w:val="none" w:sz="0" w:space="0" w:color="auto"/>
            <w:right w:val="none" w:sz="0" w:space="0" w:color="auto"/>
          </w:divBdr>
        </w:div>
        <w:div w:id="2144469430">
          <w:marLeft w:val="480"/>
          <w:marRight w:val="0"/>
          <w:marTop w:val="0"/>
          <w:marBottom w:val="0"/>
          <w:divBdr>
            <w:top w:val="none" w:sz="0" w:space="0" w:color="auto"/>
            <w:left w:val="none" w:sz="0" w:space="0" w:color="auto"/>
            <w:bottom w:val="none" w:sz="0" w:space="0" w:color="auto"/>
            <w:right w:val="none" w:sz="0" w:space="0" w:color="auto"/>
          </w:divBdr>
        </w:div>
        <w:div w:id="462962247">
          <w:marLeft w:val="480"/>
          <w:marRight w:val="0"/>
          <w:marTop w:val="0"/>
          <w:marBottom w:val="0"/>
          <w:divBdr>
            <w:top w:val="none" w:sz="0" w:space="0" w:color="auto"/>
            <w:left w:val="none" w:sz="0" w:space="0" w:color="auto"/>
            <w:bottom w:val="none" w:sz="0" w:space="0" w:color="auto"/>
            <w:right w:val="none" w:sz="0" w:space="0" w:color="auto"/>
          </w:divBdr>
        </w:div>
        <w:div w:id="873233430">
          <w:marLeft w:val="480"/>
          <w:marRight w:val="0"/>
          <w:marTop w:val="0"/>
          <w:marBottom w:val="0"/>
          <w:divBdr>
            <w:top w:val="none" w:sz="0" w:space="0" w:color="auto"/>
            <w:left w:val="none" w:sz="0" w:space="0" w:color="auto"/>
            <w:bottom w:val="none" w:sz="0" w:space="0" w:color="auto"/>
            <w:right w:val="none" w:sz="0" w:space="0" w:color="auto"/>
          </w:divBdr>
        </w:div>
        <w:div w:id="2140954310">
          <w:marLeft w:val="480"/>
          <w:marRight w:val="0"/>
          <w:marTop w:val="0"/>
          <w:marBottom w:val="0"/>
          <w:divBdr>
            <w:top w:val="none" w:sz="0" w:space="0" w:color="auto"/>
            <w:left w:val="none" w:sz="0" w:space="0" w:color="auto"/>
            <w:bottom w:val="none" w:sz="0" w:space="0" w:color="auto"/>
            <w:right w:val="none" w:sz="0" w:space="0" w:color="auto"/>
          </w:divBdr>
        </w:div>
        <w:div w:id="1879316371">
          <w:marLeft w:val="480"/>
          <w:marRight w:val="0"/>
          <w:marTop w:val="0"/>
          <w:marBottom w:val="0"/>
          <w:divBdr>
            <w:top w:val="none" w:sz="0" w:space="0" w:color="auto"/>
            <w:left w:val="none" w:sz="0" w:space="0" w:color="auto"/>
            <w:bottom w:val="none" w:sz="0" w:space="0" w:color="auto"/>
            <w:right w:val="none" w:sz="0" w:space="0" w:color="auto"/>
          </w:divBdr>
        </w:div>
        <w:div w:id="1922448271">
          <w:marLeft w:val="480"/>
          <w:marRight w:val="0"/>
          <w:marTop w:val="0"/>
          <w:marBottom w:val="0"/>
          <w:divBdr>
            <w:top w:val="none" w:sz="0" w:space="0" w:color="auto"/>
            <w:left w:val="none" w:sz="0" w:space="0" w:color="auto"/>
            <w:bottom w:val="none" w:sz="0" w:space="0" w:color="auto"/>
            <w:right w:val="none" w:sz="0" w:space="0" w:color="auto"/>
          </w:divBdr>
        </w:div>
        <w:div w:id="1776174394">
          <w:marLeft w:val="480"/>
          <w:marRight w:val="0"/>
          <w:marTop w:val="0"/>
          <w:marBottom w:val="0"/>
          <w:divBdr>
            <w:top w:val="none" w:sz="0" w:space="0" w:color="auto"/>
            <w:left w:val="none" w:sz="0" w:space="0" w:color="auto"/>
            <w:bottom w:val="none" w:sz="0" w:space="0" w:color="auto"/>
            <w:right w:val="none" w:sz="0" w:space="0" w:color="auto"/>
          </w:divBdr>
        </w:div>
        <w:div w:id="1472673981">
          <w:marLeft w:val="480"/>
          <w:marRight w:val="0"/>
          <w:marTop w:val="0"/>
          <w:marBottom w:val="0"/>
          <w:divBdr>
            <w:top w:val="none" w:sz="0" w:space="0" w:color="auto"/>
            <w:left w:val="none" w:sz="0" w:space="0" w:color="auto"/>
            <w:bottom w:val="none" w:sz="0" w:space="0" w:color="auto"/>
            <w:right w:val="none" w:sz="0" w:space="0" w:color="auto"/>
          </w:divBdr>
        </w:div>
        <w:div w:id="1071125008">
          <w:marLeft w:val="480"/>
          <w:marRight w:val="0"/>
          <w:marTop w:val="0"/>
          <w:marBottom w:val="0"/>
          <w:divBdr>
            <w:top w:val="none" w:sz="0" w:space="0" w:color="auto"/>
            <w:left w:val="none" w:sz="0" w:space="0" w:color="auto"/>
            <w:bottom w:val="none" w:sz="0" w:space="0" w:color="auto"/>
            <w:right w:val="none" w:sz="0" w:space="0" w:color="auto"/>
          </w:divBdr>
        </w:div>
        <w:div w:id="2103721666">
          <w:marLeft w:val="480"/>
          <w:marRight w:val="0"/>
          <w:marTop w:val="0"/>
          <w:marBottom w:val="0"/>
          <w:divBdr>
            <w:top w:val="none" w:sz="0" w:space="0" w:color="auto"/>
            <w:left w:val="none" w:sz="0" w:space="0" w:color="auto"/>
            <w:bottom w:val="none" w:sz="0" w:space="0" w:color="auto"/>
            <w:right w:val="none" w:sz="0" w:space="0" w:color="auto"/>
          </w:divBdr>
        </w:div>
        <w:div w:id="551885787">
          <w:marLeft w:val="480"/>
          <w:marRight w:val="0"/>
          <w:marTop w:val="0"/>
          <w:marBottom w:val="0"/>
          <w:divBdr>
            <w:top w:val="none" w:sz="0" w:space="0" w:color="auto"/>
            <w:left w:val="none" w:sz="0" w:space="0" w:color="auto"/>
            <w:bottom w:val="none" w:sz="0" w:space="0" w:color="auto"/>
            <w:right w:val="none" w:sz="0" w:space="0" w:color="auto"/>
          </w:divBdr>
        </w:div>
        <w:div w:id="619147685">
          <w:marLeft w:val="480"/>
          <w:marRight w:val="0"/>
          <w:marTop w:val="0"/>
          <w:marBottom w:val="0"/>
          <w:divBdr>
            <w:top w:val="none" w:sz="0" w:space="0" w:color="auto"/>
            <w:left w:val="none" w:sz="0" w:space="0" w:color="auto"/>
            <w:bottom w:val="none" w:sz="0" w:space="0" w:color="auto"/>
            <w:right w:val="none" w:sz="0" w:space="0" w:color="auto"/>
          </w:divBdr>
        </w:div>
        <w:div w:id="1916549134">
          <w:marLeft w:val="480"/>
          <w:marRight w:val="0"/>
          <w:marTop w:val="0"/>
          <w:marBottom w:val="0"/>
          <w:divBdr>
            <w:top w:val="none" w:sz="0" w:space="0" w:color="auto"/>
            <w:left w:val="none" w:sz="0" w:space="0" w:color="auto"/>
            <w:bottom w:val="none" w:sz="0" w:space="0" w:color="auto"/>
            <w:right w:val="none" w:sz="0" w:space="0" w:color="auto"/>
          </w:divBdr>
        </w:div>
        <w:div w:id="2049136518">
          <w:marLeft w:val="480"/>
          <w:marRight w:val="0"/>
          <w:marTop w:val="0"/>
          <w:marBottom w:val="0"/>
          <w:divBdr>
            <w:top w:val="none" w:sz="0" w:space="0" w:color="auto"/>
            <w:left w:val="none" w:sz="0" w:space="0" w:color="auto"/>
            <w:bottom w:val="none" w:sz="0" w:space="0" w:color="auto"/>
            <w:right w:val="none" w:sz="0" w:space="0" w:color="auto"/>
          </w:divBdr>
        </w:div>
        <w:div w:id="1273368181">
          <w:marLeft w:val="480"/>
          <w:marRight w:val="0"/>
          <w:marTop w:val="0"/>
          <w:marBottom w:val="0"/>
          <w:divBdr>
            <w:top w:val="none" w:sz="0" w:space="0" w:color="auto"/>
            <w:left w:val="none" w:sz="0" w:space="0" w:color="auto"/>
            <w:bottom w:val="none" w:sz="0" w:space="0" w:color="auto"/>
            <w:right w:val="none" w:sz="0" w:space="0" w:color="auto"/>
          </w:divBdr>
        </w:div>
        <w:div w:id="516769881">
          <w:marLeft w:val="480"/>
          <w:marRight w:val="0"/>
          <w:marTop w:val="0"/>
          <w:marBottom w:val="0"/>
          <w:divBdr>
            <w:top w:val="none" w:sz="0" w:space="0" w:color="auto"/>
            <w:left w:val="none" w:sz="0" w:space="0" w:color="auto"/>
            <w:bottom w:val="none" w:sz="0" w:space="0" w:color="auto"/>
            <w:right w:val="none" w:sz="0" w:space="0" w:color="auto"/>
          </w:divBdr>
        </w:div>
        <w:div w:id="771969990">
          <w:marLeft w:val="480"/>
          <w:marRight w:val="0"/>
          <w:marTop w:val="0"/>
          <w:marBottom w:val="0"/>
          <w:divBdr>
            <w:top w:val="none" w:sz="0" w:space="0" w:color="auto"/>
            <w:left w:val="none" w:sz="0" w:space="0" w:color="auto"/>
            <w:bottom w:val="none" w:sz="0" w:space="0" w:color="auto"/>
            <w:right w:val="none" w:sz="0" w:space="0" w:color="auto"/>
          </w:divBdr>
        </w:div>
        <w:div w:id="1798983356">
          <w:marLeft w:val="480"/>
          <w:marRight w:val="0"/>
          <w:marTop w:val="0"/>
          <w:marBottom w:val="0"/>
          <w:divBdr>
            <w:top w:val="none" w:sz="0" w:space="0" w:color="auto"/>
            <w:left w:val="none" w:sz="0" w:space="0" w:color="auto"/>
            <w:bottom w:val="none" w:sz="0" w:space="0" w:color="auto"/>
            <w:right w:val="none" w:sz="0" w:space="0" w:color="auto"/>
          </w:divBdr>
        </w:div>
        <w:div w:id="870266446">
          <w:marLeft w:val="480"/>
          <w:marRight w:val="0"/>
          <w:marTop w:val="0"/>
          <w:marBottom w:val="0"/>
          <w:divBdr>
            <w:top w:val="none" w:sz="0" w:space="0" w:color="auto"/>
            <w:left w:val="none" w:sz="0" w:space="0" w:color="auto"/>
            <w:bottom w:val="none" w:sz="0" w:space="0" w:color="auto"/>
            <w:right w:val="none" w:sz="0" w:space="0" w:color="auto"/>
          </w:divBdr>
        </w:div>
        <w:div w:id="1876384623">
          <w:marLeft w:val="480"/>
          <w:marRight w:val="0"/>
          <w:marTop w:val="0"/>
          <w:marBottom w:val="0"/>
          <w:divBdr>
            <w:top w:val="none" w:sz="0" w:space="0" w:color="auto"/>
            <w:left w:val="none" w:sz="0" w:space="0" w:color="auto"/>
            <w:bottom w:val="none" w:sz="0" w:space="0" w:color="auto"/>
            <w:right w:val="none" w:sz="0" w:space="0" w:color="auto"/>
          </w:divBdr>
        </w:div>
        <w:div w:id="1359550489">
          <w:marLeft w:val="480"/>
          <w:marRight w:val="0"/>
          <w:marTop w:val="0"/>
          <w:marBottom w:val="0"/>
          <w:divBdr>
            <w:top w:val="none" w:sz="0" w:space="0" w:color="auto"/>
            <w:left w:val="none" w:sz="0" w:space="0" w:color="auto"/>
            <w:bottom w:val="none" w:sz="0" w:space="0" w:color="auto"/>
            <w:right w:val="none" w:sz="0" w:space="0" w:color="auto"/>
          </w:divBdr>
        </w:div>
        <w:div w:id="327366781">
          <w:marLeft w:val="480"/>
          <w:marRight w:val="0"/>
          <w:marTop w:val="0"/>
          <w:marBottom w:val="0"/>
          <w:divBdr>
            <w:top w:val="none" w:sz="0" w:space="0" w:color="auto"/>
            <w:left w:val="none" w:sz="0" w:space="0" w:color="auto"/>
            <w:bottom w:val="none" w:sz="0" w:space="0" w:color="auto"/>
            <w:right w:val="none" w:sz="0" w:space="0" w:color="auto"/>
          </w:divBdr>
        </w:div>
        <w:div w:id="875046802">
          <w:marLeft w:val="480"/>
          <w:marRight w:val="0"/>
          <w:marTop w:val="0"/>
          <w:marBottom w:val="0"/>
          <w:divBdr>
            <w:top w:val="none" w:sz="0" w:space="0" w:color="auto"/>
            <w:left w:val="none" w:sz="0" w:space="0" w:color="auto"/>
            <w:bottom w:val="none" w:sz="0" w:space="0" w:color="auto"/>
            <w:right w:val="none" w:sz="0" w:space="0" w:color="auto"/>
          </w:divBdr>
        </w:div>
        <w:div w:id="477304253">
          <w:marLeft w:val="480"/>
          <w:marRight w:val="0"/>
          <w:marTop w:val="0"/>
          <w:marBottom w:val="0"/>
          <w:divBdr>
            <w:top w:val="none" w:sz="0" w:space="0" w:color="auto"/>
            <w:left w:val="none" w:sz="0" w:space="0" w:color="auto"/>
            <w:bottom w:val="none" w:sz="0" w:space="0" w:color="auto"/>
            <w:right w:val="none" w:sz="0" w:space="0" w:color="auto"/>
          </w:divBdr>
        </w:div>
        <w:div w:id="4406323">
          <w:marLeft w:val="480"/>
          <w:marRight w:val="0"/>
          <w:marTop w:val="0"/>
          <w:marBottom w:val="0"/>
          <w:divBdr>
            <w:top w:val="none" w:sz="0" w:space="0" w:color="auto"/>
            <w:left w:val="none" w:sz="0" w:space="0" w:color="auto"/>
            <w:bottom w:val="none" w:sz="0" w:space="0" w:color="auto"/>
            <w:right w:val="none" w:sz="0" w:space="0" w:color="auto"/>
          </w:divBdr>
        </w:div>
        <w:div w:id="222110081">
          <w:marLeft w:val="480"/>
          <w:marRight w:val="0"/>
          <w:marTop w:val="0"/>
          <w:marBottom w:val="0"/>
          <w:divBdr>
            <w:top w:val="none" w:sz="0" w:space="0" w:color="auto"/>
            <w:left w:val="none" w:sz="0" w:space="0" w:color="auto"/>
            <w:bottom w:val="none" w:sz="0" w:space="0" w:color="auto"/>
            <w:right w:val="none" w:sz="0" w:space="0" w:color="auto"/>
          </w:divBdr>
        </w:div>
        <w:div w:id="1835758914">
          <w:marLeft w:val="480"/>
          <w:marRight w:val="0"/>
          <w:marTop w:val="0"/>
          <w:marBottom w:val="0"/>
          <w:divBdr>
            <w:top w:val="none" w:sz="0" w:space="0" w:color="auto"/>
            <w:left w:val="none" w:sz="0" w:space="0" w:color="auto"/>
            <w:bottom w:val="none" w:sz="0" w:space="0" w:color="auto"/>
            <w:right w:val="none" w:sz="0" w:space="0" w:color="auto"/>
          </w:divBdr>
        </w:div>
        <w:div w:id="2099520798">
          <w:marLeft w:val="480"/>
          <w:marRight w:val="0"/>
          <w:marTop w:val="0"/>
          <w:marBottom w:val="0"/>
          <w:divBdr>
            <w:top w:val="none" w:sz="0" w:space="0" w:color="auto"/>
            <w:left w:val="none" w:sz="0" w:space="0" w:color="auto"/>
            <w:bottom w:val="none" w:sz="0" w:space="0" w:color="auto"/>
            <w:right w:val="none" w:sz="0" w:space="0" w:color="auto"/>
          </w:divBdr>
        </w:div>
        <w:div w:id="1960985434">
          <w:marLeft w:val="480"/>
          <w:marRight w:val="0"/>
          <w:marTop w:val="0"/>
          <w:marBottom w:val="0"/>
          <w:divBdr>
            <w:top w:val="none" w:sz="0" w:space="0" w:color="auto"/>
            <w:left w:val="none" w:sz="0" w:space="0" w:color="auto"/>
            <w:bottom w:val="none" w:sz="0" w:space="0" w:color="auto"/>
            <w:right w:val="none" w:sz="0" w:space="0" w:color="auto"/>
          </w:divBdr>
        </w:div>
        <w:div w:id="1884830369">
          <w:marLeft w:val="480"/>
          <w:marRight w:val="0"/>
          <w:marTop w:val="0"/>
          <w:marBottom w:val="0"/>
          <w:divBdr>
            <w:top w:val="none" w:sz="0" w:space="0" w:color="auto"/>
            <w:left w:val="none" w:sz="0" w:space="0" w:color="auto"/>
            <w:bottom w:val="none" w:sz="0" w:space="0" w:color="auto"/>
            <w:right w:val="none" w:sz="0" w:space="0" w:color="auto"/>
          </w:divBdr>
        </w:div>
        <w:div w:id="1506090768">
          <w:marLeft w:val="480"/>
          <w:marRight w:val="0"/>
          <w:marTop w:val="0"/>
          <w:marBottom w:val="0"/>
          <w:divBdr>
            <w:top w:val="none" w:sz="0" w:space="0" w:color="auto"/>
            <w:left w:val="none" w:sz="0" w:space="0" w:color="auto"/>
            <w:bottom w:val="none" w:sz="0" w:space="0" w:color="auto"/>
            <w:right w:val="none" w:sz="0" w:space="0" w:color="auto"/>
          </w:divBdr>
        </w:div>
        <w:div w:id="917713714">
          <w:marLeft w:val="480"/>
          <w:marRight w:val="0"/>
          <w:marTop w:val="0"/>
          <w:marBottom w:val="0"/>
          <w:divBdr>
            <w:top w:val="none" w:sz="0" w:space="0" w:color="auto"/>
            <w:left w:val="none" w:sz="0" w:space="0" w:color="auto"/>
            <w:bottom w:val="none" w:sz="0" w:space="0" w:color="auto"/>
            <w:right w:val="none" w:sz="0" w:space="0" w:color="auto"/>
          </w:divBdr>
        </w:div>
        <w:div w:id="673799074">
          <w:marLeft w:val="480"/>
          <w:marRight w:val="0"/>
          <w:marTop w:val="0"/>
          <w:marBottom w:val="0"/>
          <w:divBdr>
            <w:top w:val="none" w:sz="0" w:space="0" w:color="auto"/>
            <w:left w:val="none" w:sz="0" w:space="0" w:color="auto"/>
            <w:bottom w:val="none" w:sz="0" w:space="0" w:color="auto"/>
            <w:right w:val="none" w:sz="0" w:space="0" w:color="auto"/>
          </w:divBdr>
        </w:div>
        <w:div w:id="102311318">
          <w:marLeft w:val="480"/>
          <w:marRight w:val="0"/>
          <w:marTop w:val="0"/>
          <w:marBottom w:val="0"/>
          <w:divBdr>
            <w:top w:val="none" w:sz="0" w:space="0" w:color="auto"/>
            <w:left w:val="none" w:sz="0" w:space="0" w:color="auto"/>
            <w:bottom w:val="none" w:sz="0" w:space="0" w:color="auto"/>
            <w:right w:val="none" w:sz="0" w:space="0" w:color="auto"/>
          </w:divBdr>
        </w:div>
        <w:div w:id="294532486">
          <w:marLeft w:val="480"/>
          <w:marRight w:val="0"/>
          <w:marTop w:val="0"/>
          <w:marBottom w:val="0"/>
          <w:divBdr>
            <w:top w:val="none" w:sz="0" w:space="0" w:color="auto"/>
            <w:left w:val="none" w:sz="0" w:space="0" w:color="auto"/>
            <w:bottom w:val="none" w:sz="0" w:space="0" w:color="auto"/>
            <w:right w:val="none" w:sz="0" w:space="0" w:color="auto"/>
          </w:divBdr>
        </w:div>
        <w:div w:id="2102020777">
          <w:marLeft w:val="480"/>
          <w:marRight w:val="0"/>
          <w:marTop w:val="0"/>
          <w:marBottom w:val="0"/>
          <w:divBdr>
            <w:top w:val="none" w:sz="0" w:space="0" w:color="auto"/>
            <w:left w:val="none" w:sz="0" w:space="0" w:color="auto"/>
            <w:bottom w:val="none" w:sz="0" w:space="0" w:color="auto"/>
            <w:right w:val="none" w:sz="0" w:space="0" w:color="auto"/>
          </w:divBdr>
        </w:div>
        <w:div w:id="1440106664">
          <w:marLeft w:val="480"/>
          <w:marRight w:val="0"/>
          <w:marTop w:val="0"/>
          <w:marBottom w:val="0"/>
          <w:divBdr>
            <w:top w:val="none" w:sz="0" w:space="0" w:color="auto"/>
            <w:left w:val="none" w:sz="0" w:space="0" w:color="auto"/>
            <w:bottom w:val="none" w:sz="0" w:space="0" w:color="auto"/>
            <w:right w:val="none" w:sz="0" w:space="0" w:color="auto"/>
          </w:divBdr>
        </w:div>
        <w:div w:id="1617178077">
          <w:marLeft w:val="480"/>
          <w:marRight w:val="0"/>
          <w:marTop w:val="0"/>
          <w:marBottom w:val="0"/>
          <w:divBdr>
            <w:top w:val="none" w:sz="0" w:space="0" w:color="auto"/>
            <w:left w:val="none" w:sz="0" w:space="0" w:color="auto"/>
            <w:bottom w:val="none" w:sz="0" w:space="0" w:color="auto"/>
            <w:right w:val="none" w:sz="0" w:space="0" w:color="auto"/>
          </w:divBdr>
        </w:div>
        <w:div w:id="136922422">
          <w:marLeft w:val="480"/>
          <w:marRight w:val="0"/>
          <w:marTop w:val="0"/>
          <w:marBottom w:val="0"/>
          <w:divBdr>
            <w:top w:val="none" w:sz="0" w:space="0" w:color="auto"/>
            <w:left w:val="none" w:sz="0" w:space="0" w:color="auto"/>
            <w:bottom w:val="none" w:sz="0" w:space="0" w:color="auto"/>
            <w:right w:val="none" w:sz="0" w:space="0" w:color="auto"/>
          </w:divBdr>
        </w:div>
        <w:div w:id="1466002712">
          <w:marLeft w:val="480"/>
          <w:marRight w:val="0"/>
          <w:marTop w:val="0"/>
          <w:marBottom w:val="0"/>
          <w:divBdr>
            <w:top w:val="none" w:sz="0" w:space="0" w:color="auto"/>
            <w:left w:val="none" w:sz="0" w:space="0" w:color="auto"/>
            <w:bottom w:val="none" w:sz="0" w:space="0" w:color="auto"/>
            <w:right w:val="none" w:sz="0" w:space="0" w:color="auto"/>
          </w:divBdr>
        </w:div>
        <w:div w:id="1242716501">
          <w:marLeft w:val="480"/>
          <w:marRight w:val="0"/>
          <w:marTop w:val="0"/>
          <w:marBottom w:val="0"/>
          <w:divBdr>
            <w:top w:val="none" w:sz="0" w:space="0" w:color="auto"/>
            <w:left w:val="none" w:sz="0" w:space="0" w:color="auto"/>
            <w:bottom w:val="none" w:sz="0" w:space="0" w:color="auto"/>
            <w:right w:val="none" w:sz="0" w:space="0" w:color="auto"/>
          </w:divBdr>
        </w:div>
        <w:div w:id="688067059">
          <w:marLeft w:val="480"/>
          <w:marRight w:val="0"/>
          <w:marTop w:val="0"/>
          <w:marBottom w:val="0"/>
          <w:divBdr>
            <w:top w:val="none" w:sz="0" w:space="0" w:color="auto"/>
            <w:left w:val="none" w:sz="0" w:space="0" w:color="auto"/>
            <w:bottom w:val="none" w:sz="0" w:space="0" w:color="auto"/>
            <w:right w:val="none" w:sz="0" w:space="0" w:color="auto"/>
          </w:divBdr>
        </w:div>
        <w:div w:id="860440594">
          <w:marLeft w:val="480"/>
          <w:marRight w:val="0"/>
          <w:marTop w:val="0"/>
          <w:marBottom w:val="0"/>
          <w:divBdr>
            <w:top w:val="none" w:sz="0" w:space="0" w:color="auto"/>
            <w:left w:val="none" w:sz="0" w:space="0" w:color="auto"/>
            <w:bottom w:val="none" w:sz="0" w:space="0" w:color="auto"/>
            <w:right w:val="none" w:sz="0" w:space="0" w:color="auto"/>
          </w:divBdr>
        </w:div>
        <w:div w:id="1787428877">
          <w:marLeft w:val="480"/>
          <w:marRight w:val="0"/>
          <w:marTop w:val="0"/>
          <w:marBottom w:val="0"/>
          <w:divBdr>
            <w:top w:val="none" w:sz="0" w:space="0" w:color="auto"/>
            <w:left w:val="none" w:sz="0" w:space="0" w:color="auto"/>
            <w:bottom w:val="none" w:sz="0" w:space="0" w:color="auto"/>
            <w:right w:val="none" w:sz="0" w:space="0" w:color="auto"/>
          </w:divBdr>
        </w:div>
        <w:div w:id="1863743563">
          <w:marLeft w:val="480"/>
          <w:marRight w:val="0"/>
          <w:marTop w:val="0"/>
          <w:marBottom w:val="0"/>
          <w:divBdr>
            <w:top w:val="none" w:sz="0" w:space="0" w:color="auto"/>
            <w:left w:val="none" w:sz="0" w:space="0" w:color="auto"/>
            <w:bottom w:val="none" w:sz="0" w:space="0" w:color="auto"/>
            <w:right w:val="none" w:sz="0" w:space="0" w:color="auto"/>
          </w:divBdr>
        </w:div>
        <w:div w:id="1952467229">
          <w:marLeft w:val="480"/>
          <w:marRight w:val="0"/>
          <w:marTop w:val="0"/>
          <w:marBottom w:val="0"/>
          <w:divBdr>
            <w:top w:val="none" w:sz="0" w:space="0" w:color="auto"/>
            <w:left w:val="none" w:sz="0" w:space="0" w:color="auto"/>
            <w:bottom w:val="none" w:sz="0" w:space="0" w:color="auto"/>
            <w:right w:val="none" w:sz="0" w:space="0" w:color="auto"/>
          </w:divBdr>
        </w:div>
        <w:div w:id="1804884039">
          <w:marLeft w:val="480"/>
          <w:marRight w:val="0"/>
          <w:marTop w:val="0"/>
          <w:marBottom w:val="0"/>
          <w:divBdr>
            <w:top w:val="none" w:sz="0" w:space="0" w:color="auto"/>
            <w:left w:val="none" w:sz="0" w:space="0" w:color="auto"/>
            <w:bottom w:val="none" w:sz="0" w:space="0" w:color="auto"/>
            <w:right w:val="none" w:sz="0" w:space="0" w:color="auto"/>
          </w:divBdr>
        </w:div>
        <w:div w:id="757288612">
          <w:marLeft w:val="480"/>
          <w:marRight w:val="0"/>
          <w:marTop w:val="0"/>
          <w:marBottom w:val="0"/>
          <w:divBdr>
            <w:top w:val="none" w:sz="0" w:space="0" w:color="auto"/>
            <w:left w:val="none" w:sz="0" w:space="0" w:color="auto"/>
            <w:bottom w:val="none" w:sz="0" w:space="0" w:color="auto"/>
            <w:right w:val="none" w:sz="0" w:space="0" w:color="auto"/>
          </w:divBdr>
        </w:div>
        <w:div w:id="50076875">
          <w:marLeft w:val="480"/>
          <w:marRight w:val="0"/>
          <w:marTop w:val="0"/>
          <w:marBottom w:val="0"/>
          <w:divBdr>
            <w:top w:val="none" w:sz="0" w:space="0" w:color="auto"/>
            <w:left w:val="none" w:sz="0" w:space="0" w:color="auto"/>
            <w:bottom w:val="none" w:sz="0" w:space="0" w:color="auto"/>
            <w:right w:val="none" w:sz="0" w:space="0" w:color="auto"/>
          </w:divBdr>
        </w:div>
        <w:div w:id="413403880">
          <w:marLeft w:val="480"/>
          <w:marRight w:val="0"/>
          <w:marTop w:val="0"/>
          <w:marBottom w:val="0"/>
          <w:divBdr>
            <w:top w:val="none" w:sz="0" w:space="0" w:color="auto"/>
            <w:left w:val="none" w:sz="0" w:space="0" w:color="auto"/>
            <w:bottom w:val="none" w:sz="0" w:space="0" w:color="auto"/>
            <w:right w:val="none" w:sz="0" w:space="0" w:color="auto"/>
          </w:divBdr>
        </w:div>
        <w:div w:id="1741949942">
          <w:marLeft w:val="480"/>
          <w:marRight w:val="0"/>
          <w:marTop w:val="0"/>
          <w:marBottom w:val="0"/>
          <w:divBdr>
            <w:top w:val="none" w:sz="0" w:space="0" w:color="auto"/>
            <w:left w:val="none" w:sz="0" w:space="0" w:color="auto"/>
            <w:bottom w:val="none" w:sz="0" w:space="0" w:color="auto"/>
            <w:right w:val="none" w:sz="0" w:space="0" w:color="auto"/>
          </w:divBdr>
        </w:div>
        <w:div w:id="1740668895">
          <w:marLeft w:val="480"/>
          <w:marRight w:val="0"/>
          <w:marTop w:val="0"/>
          <w:marBottom w:val="0"/>
          <w:divBdr>
            <w:top w:val="none" w:sz="0" w:space="0" w:color="auto"/>
            <w:left w:val="none" w:sz="0" w:space="0" w:color="auto"/>
            <w:bottom w:val="none" w:sz="0" w:space="0" w:color="auto"/>
            <w:right w:val="none" w:sz="0" w:space="0" w:color="auto"/>
          </w:divBdr>
        </w:div>
        <w:div w:id="1243836371">
          <w:marLeft w:val="480"/>
          <w:marRight w:val="0"/>
          <w:marTop w:val="0"/>
          <w:marBottom w:val="0"/>
          <w:divBdr>
            <w:top w:val="none" w:sz="0" w:space="0" w:color="auto"/>
            <w:left w:val="none" w:sz="0" w:space="0" w:color="auto"/>
            <w:bottom w:val="none" w:sz="0" w:space="0" w:color="auto"/>
            <w:right w:val="none" w:sz="0" w:space="0" w:color="auto"/>
          </w:divBdr>
        </w:div>
        <w:div w:id="627125946">
          <w:marLeft w:val="480"/>
          <w:marRight w:val="0"/>
          <w:marTop w:val="0"/>
          <w:marBottom w:val="0"/>
          <w:divBdr>
            <w:top w:val="none" w:sz="0" w:space="0" w:color="auto"/>
            <w:left w:val="none" w:sz="0" w:space="0" w:color="auto"/>
            <w:bottom w:val="none" w:sz="0" w:space="0" w:color="auto"/>
            <w:right w:val="none" w:sz="0" w:space="0" w:color="auto"/>
          </w:divBdr>
        </w:div>
        <w:div w:id="482087689">
          <w:marLeft w:val="480"/>
          <w:marRight w:val="0"/>
          <w:marTop w:val="0"/>
          <w:marBottom w:val="0"/>
          <w:divBdr>
            <w:top w:val="none" w:sz="0" w:space="0" w:color="auto"/>
            <w:left w:val="none" w:sz="0" w:space="0" w:color="auto"/>
            <w:bottom w:val="none" w:sz="0" w:space="0" w:color="auto"/>
            <w:right w:val="none" w:sz="0" w:space="0" w:color="auto"/>
          </w:divBdr>
        </w:div>
        <w:div w:id="1438332262">
          <w:marLeft w:val="480"/>
          <w:marRight w:val="0"/>
          <w:marTop w:val="0"/>
          <w:marBottom w:val="0"/>
          <w:divBdr>
            <w:top w:val="none" w:sz="0" w:space="0" w:color="auto"/>
            <w:left w:val="none" w:sz="0" w:space="0" w:color="auto"/>
            <w:bottom w:val="none" w:sz="0" w:space="0" w:color="auto"/>
            <w:right w:val="none" w:sz="0" w:space="0" w:color="auto"/>
          </w:divBdr>
        </w:div>
        <w:div w:id="348408236">
          <w:marLeft w:val="480"/>
          <w:marRight w:val="0"/>
          <w:marTop w:val="0"/>
          <w:marBottom w:val="0"/>
          <w:divBdr>
            <w:top w:val="none" w:sz="0" w:space="0" w:color="auto"/>
            <w:left w:val="none" w:sz="0" w:space="0" w:color="auto"/>
            <w:bottom w:val="none" w:sz="0" w:space="0" w:color="auto"/>
            <w:right w:val="none" w:sz="0" w:space="0" w:color="auto"/>
          </w:divBdr>
        </w:div>
        <w:div w:id="1760447897">
          <w:marLeft w:val="480"/>
          <w:marRight w:val="0"/>
          <w:marTop w:val="0"/>
          <w:marBottom w:val="0"/>
          <w:divBdr>
            <w:top w:val="none" w:sz="0" w:space="0" w:color="auto"/>
            <w:left w:val="none" w:sz="0" w:space="0" w:color="auto"/>
            <w:bottom w:val="none" w:sz="0" w:space="0" w:color="auto"/>
            <w:right w:val="none" w:sz="0" w:space="0" w:color="auto"/>
          </w:divBdr>
        </w:div>
        <w:div w:id="393821310">
          <w:marLeft w:val="480"/>
          <w:marRight w:val="0"/>
          <w:marTop w:val="0"/>
          <w:marBottom w:val="0"/>
          <w:divBdr>
            <w:top w:val="none" w:sz="0" w:space="0" w:color="auto"/>
            <w:left w:val="none" w:sz="0" w:space="0" w:color="auto"/>
            <w:bottom w:val="none" w:sz="0" w:space="0" w:color="auto"/>
            <w:right w:val="none" w:sz="0" w:space="0" w:color="auto"/>
          </w:divBdr>
        </w:div>
        <w:div w:id="936408244">
          <w:marLeft w:val="480"/>
          <w:marRight w:val="0"/>
          <w:marTop w:val="0"/>
          <w:marBottom w:val="0"/>
          <w:divBdr>
            <w:top w:val="none" w:sz="0" w:space="0" w:color="auto"/>
            <w:left w:val="none" w:sz="0" w:space="0" w:color="auto"/>
            <w:bottom w:val="none" w:sz="0" w:space="0" w:color="auto"/>
            <w:right w:val="none" w:sz="0" w:space="0" w:color="auto"/>
          </w:divBdr>
        </w:div>
        <w:div w:id="1203594273">
          <w:marLeft w:val="480"/>
          <w:marRight w:val="0"/>
          <w:marTop w:val="0"/>
          <w:marBottom w:val="0"/>
          <w:divBdr>
            <w:top w:val="none" w:sz="0" w:space="0" w:color="auto"/>
            <w:left w:val="none" w:sz="0" w:space="0" w:color="auto"/>
            <w:bottom w:val="none" w:sz="0" w:space="0" w:color="auto"/>
            <w:right w:val="none" w:sz="0" w:space="0" w:color="auto"/>
          </w:divBdr>
        </w:div>
        <w:div w:id="1491142129">
          <w:marLeft w:val="480"/>
          <w:marRight w:val="0"/>
          <w:marTop w:val="0"/>
          <w:marBottom w:val="0"/>
          <w:divBdr>
            <w:top w:val="none" w:sz="0" w:space="0" w:color="auto"/>
            <w:left w:val="none" w:sz="0" w:space="0" w:color="auto"/>
            <w:bottom w:val="none" w:sz="0" w:space="0" w:color="auto"/>
            <w:right w:val="none" w:sz="0" w:space="0" w:color="auto"/>
          </w:divBdr>
        </w:div>
        <w:div w:id="1781334757">
          <w:marLeft w:val="480"/>
          <w:marRight w:val="0"/>
          <w:marTop w:val="0"/>
          <w:marBottom w:val="0"/>
          <w:divBdr>
            <w:top w:val="none" w:sz="0" w:space="0" w:color="auto"/>
            <w:left w:val="none" w:sz="0" w:space="0" w:color="auto"/>
            <w:bottom w:val="none" w:sz="0" w:space="0" w:color="auto"/>
            <w:right w:val="none" w:sz="0" w:space="0" w:color="auto"/>
          </w:divBdr>
        </w:div>
        <w:div w:id="540675208">
          <w:marLeft w:val="480"/>
          <w:marRight w:val="0"/>
          <w:marTop w:val="0"/>
          <w:marBottom w:val="0"/>
          <w:divBdr>
            <w:top w:val="none" w:sz="0" w:space="0" w:color="auto"/>
            <w:left w:val="none" w:sz="0" w:space="0" w:color="auto"/>
            <w:bottom w:val="none" w:sz="0" w:space="0" w:color="auto"/>
            <w:right w:val="none" w:sz="0" w:space="0" w:color="auto"/>
          </w:divBdr>
        </w:div>
        <w:div w:id="1041629792">
          <w:marLeft w:val="480"/>
          <w:marRight w:val="0"/>
          <w:marTop w:val="0"/>
          <w:marBottom w:val="0"/>
          <w:divBdr>
            <w:top w:val="none" w:sz="0" w:space="0" w:color="auto"/>
            <w:left w:val="none" w:sz="0" w:space="0" w:color="auto"/>
            <w:bottom w:val="none" w:sz="0" w:space="0" w:color="auto"/>
            <w:right w:val="none" w:sz="0" w:space="0" w:color="auto"/>
          </w:divBdr>
        </w:div>
        <w:div w:id="518324329">
          <w:marLeft w:val="480"/>
          <w:marRight w:val="0"/>
          <w:marTop w:val="0"/>
          <w:marBottom w:val="0"/>
          <w:divBdr>
            <w:top w:val="none" w:sz="0" w:space="0" w:color="auto"/>
            <w:left w:val="none" w:sz="0" w:space="0" w:color="auto"/>
            <w:bottom w:val="none" w:sz="0" w:space="0" w:color="auto"/>
            <w:right w:val="none" w:sz="0" w:space="0" w:color="auto"/>
          </w:divBdr>
        </w:div>
        <w:div w:id="1439522505">
          <w:marLeft w:val="480"/>
          <w:marRight w:val="0"/>
          <w:marTop w:val="0"/>
          <w:marBottom w:val="0"/>
          <w:divBdr>
            <w:top w:val="none" w:sz="0" w:space="0" w:color="auto"/>
            <w:left w:val="none" w:sz="0" w:space="0" w:color="auto"/>
            <w:bottom w:val="none" w:sz="0" w:space="0" w:color="auto"/>
            <w:right w:val="none" w:sz="0" w:space="0" w:color="auto"/>
          </w:divBdr>
        </w:div>
        <w:div w:id="1944335008">
          <w:marLeft w:val="480"/>
          <w:marRight w:val="0"/>
          <w:marTop w:val="0"/>
          <w:marBottom w:val="0"/>
          <w:divBdr>
            <w:top w:val="none" w:sz="0" w:space="0" w:color="auto"/>
            <w:left w:val="none" w:sz="0" w:space="0" w:color="auto"/>
            <w:bottom w:val="none" w:sz="0" w:space="0" w:color="auto"/>
            <w:right w:val="none" w:sz="0" w:space="0" w:color="auto"/>
          </w:divBdr>
        </w:div>
        <w:div w:id="795678705">
          <w:marLeft w:val="480"/>
          <w:marRight w:val="0"/>
          <w:marTop w:val="0"/>
          <w:marBottom w:val="0"/>
          <w:divBdr>
            <w:top w:val="none" w:sz="0" w:space="0" w:color="auto"/>
            <w:left w:val="none" w:sz="0" w:space="0" w:color="auto"/>
            <w:bottom w:val="none" w:sz="0" w:space="0" w:color="auto"/>
            <w:right w:val="none" w:sz="0" w:space="0" w:color="auto"/>
          </w:divBdr>
        </w:div>
        <w:div w:id="272831925">
          <w:marLeft w:val="480"/>
          <w:marRight w:val="0"/>
          <w:marTop w:val="0"/>
          <w:marBottom w:val="0"/>
          <w:divBdr>
            <w:top w:val="none" w:sz="0" w:space="0" w:color="auto"/>
            <w:left w:val="none" w:sz="0" w:space="0" w:color="auto"/>
            <w:bottom w:val="none" w:sz="0" w:space="0" w:color="auto"/>
            <w:right w:val="none" w:sz="0" w:space="0" w:color="auto"/>
          </w:divBdr>
        </w:div>
        <w:div w:id="1305239070">
          <w:marLeft w:val="480"/>
          <w:marRight w:val="0"/>
          <w:marTop w:val="0"/>
          <w:marBottom w:val="0"/>
          <w:divBdr>
            <w:top w:val="none" w:sz="0" w:space="0" w:color="auto"/>
            <w:left w:val="none" w:sz="0" w:space="0" w:color="auto"/>
            <w:bottom w:val="none" w:sz="0" w:space="0" w:color="auto"/>
            <w:right w:val="none" w:sz="0" w:space="0" w:color="auto"/>
          </w:divBdr>
        </w:div>
        <w:div w:id="1082216384">
          <w:marLeft w:val="480"/>
          <w:marRight w:val="0"/>
          <w:marTop w:val="0"/>
          <w:marBottom w:val="0"/>
          <w:divBdr>
            <w:top w:val="none" w:sz="0" w:space="0" w:color="auto"/>
            <w:left w:val="none" w:sz="0" w:space="0" w:color="auto"/>
            <w:bottom w:val="none" w:sz="0" w:space="0" w:color="auto"/>
            <w:right w:val="none" w:sz="0" w:space="0" w:color="auto"/>
          </w:divBdr>
        </w:div>
        <w:div w:id="550463532">
          <w:marLeft w:val="480"/>
          <w:marRight w:val="0"/>
          <w:marTop w:val="0"/>
          <w:marBottom w:val="0"/>
          <w:divBdr>
            <w:top w:val="none" w:sz="0" w:space="0" w:color="auto"/>
            <w:left w:val="none" w:sz="0" w:space="0" w:color="auto"/>
            <w:bottom w:val="none" w:sz="0" w:space="0" w:color="auto"/>
            <w:right w:val="none" w:sz="0" w:space="0" w:color="auto"/>
          </w:divBdr>
        </w:div>
        <w:div w:id="79102088">
          <w:marLeft w:val="480"/>
          <w:marRight w:val="0"/>
          <w:marTop w:val="0"/>
          <w:marBottom w:val="0"/>
          <w:divBdr>
            <w:top w:val="none" w:sz="0" w:space="0" w:color="auto"/>
            <w:left w:val="none" w:sz="0" w:space="0" w:color="auto"/>
            <w:bottom w:val="none" w:sz="0" w:space="0" w:color="auto"/>
            <w:right w:val="none" w:sz="0" w:space="0" w:color="auto"/>
          </w:divBdr>
        </w:div>
        <w:div w:id="1522667190">
          <w:marLeft w:val="480"/>
          <w:marRight w:val="0"/>
          <w:marTop w:val="0"/>
          <w:marBottom w:val="0"/>
          <w:divBdr>
            <w:top w:val="none" w:sz="0" w:space="0" w:color="auto"/>
            <w:left w:val="none" w:sz="0" w:space="0" w:color="auto"/>
            <w:bottom w:val="none" w:sz="0" w:space="0" w:color="auto"/>
            <w:right w:val="none" w:sz="0" w:space="0" w:color="auto"/>
          </w:divBdr>
        </w:div>
        <w:div w:id="1453356951">
          <w:marLeft w:val="480"/>
          <w:marRight w:val="0"/>
          <w:marTop w:val="0"/>
          <w:marBottom w:val="0"/>
          <w:divBdr>
            <w:top w:val="none" w:sz="0" w:space="0" w:color="auto"/>
            <w:left w:val="none" w:sz="0" w:space="0" w:color="auto"/>
            <w:bottom w:val="none" w:sz="0" w:space="0" w:color="auto"/>
            <w:right w:val="none" w:sz="0" w:space="0" w:color="auto"/>
          </w:divBdr>
        </w:div>
        <w:div w:id="83305994">
          <w:marLeft w:val="480"/>
          <w:marRight w:val="0"/>
          <w:marTop w:val="0"/>
          <w:marBottom w:val="0"/>
          <w:divBdr>
            <w:top w:val="none" w:sz="0" w:space="0" w:color="auto"/>
            <w:left w:val="none" w:sz="0" w:space="0" w:color="auto"/>
            <w:bottom w:val="none" w:sz="0" w:space="0" w:color="auto"/>
            <w:right w:val="none" w:sz="0" w:space="0" w:color="auto"/>
          </w:divBdr>
        </w:div>
        <w:div w:id="1604604601">
          <w:marLeft w:val="480"/>
          <w:marRight w:val="0"/>
          <w:marTop w:val="0"/>
          <w:marBottom w:val="0"/>
          <w:divBdr>
            <w:top w:val="none" w:sz="0" w:space="0" w:color="auto"/>
            <w:left w:val="none" w:sz="0" w:space="0" w:color="auto"/>
            <w:bottom w:val="none" w:sz="0" w:space="0" w:color="auto"/>
            <w:right w:val="none" w:sz="0" w:space="0" w:color="auto"/>
          </w:divBdr>
        </w:div>
        <w:div w:id="783115250">
          <w:marLeft w:val="480"/>
          <w:marRight w:val="0"/>
          <w:marTop w:val="0"/>
          <w:marBottom w:val="0"/>
          <w:divBdr>
            <w:top w:val="none" w:sz="0" w:space="0" w:color="auto"/>
            <w:left w:val="none" w:sz="0" w:space="0" w:color="auto"/>
            <w:bottom w:val="none" w:sz="0" w:space="0" w:color="auto"/>
            <w:right w:val="none" w:sz="0" w:space="0" w:color="auto"/>
          </w:divBdr>
        </w:div>
        <w:div w:id="1389302510">
          <w:marLeft w:val="480"/>
          <w:marRight w:val="0"/>
          <w:marTop w:val="0"/>
          <w:marBottom w:val="0"/>
          <w:divBdr>
            <w:top w:val="none" w:sz="0" w:space="0" w:color="auto"/>
            <w:left w:val="none" w:sz="0" w:space="0" w:color="auto"/>
            <w:bottom w:val="none" w:sz="0" w:space="0" w:color="auto"/>
            <w:right w:val="none" w:sz="0" w:space="0" w:color="auto"/>
          </w:divBdr>
        </w:div>
        <w:div w:id="1019818937">
          <w:marLeft w:val="480"/>
          <w:marRight w:val="0"/>
          <w:marTop w:val="0"/>
          <w:marBottom w:val="0"/>
          <w:divBdr>
            <w:top w:val="none" w:sz="0" w:space="0" w:color="auto"/>
            <w:left w:val="none" w:sz="0" w:space="0" w:color="auto"/>
            <w:bottom w:val="none" w:sz="0" w:space="0" w:color="auto"/>
            <w:right w:val="none" w:sz="0" w:space="0" w:color="auto"/>
          </w:divBdr>
        </w:div>
        <w:div w:id="1438019194">
          <w:marLeft w:val="480"/>
          <w:marRight w:val="0"/>
          <w:marTop w:val="0"/>
          <w:marBottom w:val="0"/>
          <w:divBdr>
            <w:top w:val="none" w:sz="0" w:space="0" w:color="auto"/>
            <w:left w:val="none" w:sz="0" w:space="0" w:color="auto"/>
            <w:bottom w:val="none" w:sz="0" w:space="0" w:color="auto"/>
            <w:right w:val="none" w:sz="0" w:space="0" w:color="auto"/>
          </w:divBdr>
        </w:div>
        <w:div w:id="1600868892">
          <w:marLeft w:val="480"/>
          <w:marRight w:val="0"/>
          <w:marTop w:val="0"/>
          <w:marBottom w:val="0"/>
          <w:divBdr>
            <w:top w:val="none" w:sz="0" w:space="0" w:color="auto"/>
            <w:left w:val="none" w:sz="0" w:space="0" w:color="auto"/>
            <w:bottom w:val="none" w:sz="0" w:space="0" w:color="auto"/>
            <w:right w:val="none" w:sz="0" w:space="0" w:color="auto"/>
          </w:divBdr>
        </w:div>
        <w:div w:id="520902342">
          <w:marLeft w:val="480"/>
          <w:marRight w:val="0"/>
          <w:marTop w:val="0"/>
          <w:marBottom w:val="0"/>
          <w:divBdr>
            <w:top w:val="none" w:sz="0" w:space="0" w:color="auto"/>
            <w:left w:val="none" w:sz="0" w:space="0" w:color="auto"/>
            <w:bottom w:val="none" w:sz="0" w:space="0" w:color="auto"/>
            <w:right w:val="none" w:sz="0" w:space="0" w:color="auto"/>
          </w:divBdr>
        </w:div>
      </w:divsChild>
    </w:div>
    <w:div w:id="468131814">
      <w:bodyDiv w:val="1"/>
      <w:marLeft w:val="0"/>
      <w:marRight w:val="0"/>
      <w:marTop w:val="0"/>
      <w:marBottom w:val="0"/>
      <w:divBdr>
        <w:top w:val="none" w:sz="0" w:space="0" w:color="auto"/>
        <w:left w:val="none" w:sz="0" w:space="0" w:color="auto"/>
        <w:bottom w:val="none" w:sz="0" w:space="0" w:color="auto"/>
        <w:right w:val="none" w:sz="0" w:space="0" w:color="auto"/>
      </w:divBdr>
      <w:divsChild>
        <w:div w:id="637031364">
          <w:marLeft w:val="480"/>
          <w:marRight w:val="0"/>
          <w:marTop w:val="0"/>
          <w:marBottom w:val="0"/>
          <w:divBdr>
            <w:top w:val="none" w:sz="0" w:space="0" w:color="auto"/>
            <w:left w:val="none" w:sz="0" w:space="0" w:color="auto"/>
            <w:bottom w:val="none" w:sz="0" w:space="0" w:color="auto"/>
            <w:right w:val="none" w:sz="0" w:space="0" w:color="auto"/>
          </w:divBdr>
        </w:div>
        <w:div w:id="865749930">
          <w:marLeft w:val="480"/>
          <w:marRight w:val="0"/>
          <w:marTop w:val="0"/>
          <w:marBottom w:val="0"/>
          <w:divBdr>
            <w:top w:val="none" w:sz="0" w:space="0" w:color="auto"/>
            <w:left w:val="none" w:sz="0" w:space="0" w:color="auto"/>
            <w:bottom w:val="none" w:sz="0" w:space="0" w:color="auto"/>
            <w:right w:val="none" w:sz="0" w:space="0" w:color="auto"/>
          </w:divBdr>
        </w:div>
        <w:div w:id="1575310446">
          <w:marLeft w:val="480"/>
          <w:marRight w:val="0"/>
          <w:marTop w:val="0"/>
          <w:marBottom w:val="0"/>
          <w:divBdr>
            <w:top w:val="none" w:sz="0" w:space="0" w:color="auto"/>
            <w:left w:val="none" w:sz="0" w:space="0" w:color="auto"/>
            <w:bottom w:val="none" w:sz="0" w:space="0" w:color="auto"/>
            <w:right w:val="none" w:sz="0" w:space="0" w:color="auto"/>
          </w:divBdr>
        </w:div>
        <w:div w:id="494880075">
          <w:marLeft w:val="480"/>
          <w:marRight w:val="0"/>
          <w:marTop w:val="0"/>
          <w:marBottom w:val="0"/>
          <w:divBdr>
            <w:top w:val="none" w:sz="0" w:space="0" w:color="auto"/>
            <w:left w:val="none" w:sz="0" w:space="0" w:color="auto"/>
            <w:bottom w:val="none" w:sz="0" w:space="0" w:color="auto"/>
            <w:right w:val="none" w:sz="0" w:space="0" w:color="auto"/>
          </w:divBdr>
        </w:div>
        <w:div w:id="1686321939">
          <w:marLeft w:val="480"/>
          <w:marRight w:val="0"/>
          <w:marTop w:val="0"/>
          <w:marBottom w:val="0"/>
          <w:divBdr>
            <w:top w:val="none" w:sz="0" w:space="0" w:color="auto"/>
            <w:left w:val="none" w:sz="0" w:space="0" w:color="auto"/>
            <w:bottom w:val="none" w:sz="0" w:space="0" w:color="auto"/>
            <w:right w:val="none" w:sz="0" w:space="0" w:color="auto"/>
          </w:divBdr>
        </w:div>
        <w:div w:id="1610548473">
          <w:marLeft w:val="480"/>
          <w:marRight w:val="0"/>
          <w:marTop w:val="0"/>
          <w:marBottom w:val="0"/>
          <w:divBdr>
            <w:top w:val="none" w:sz="0" w:space="0" w:color="auto"/>
            <w:left w:val="none" w:sz="0" w:space="0" w:color="auto"/>
            <w:bottom w:val="none" w:sz="0" w:space="0" w:color="auto"/>
            <w:right w:val="none" w:sz="0" w:space="0" w:color="auto"/>
          </w:divBdr>
        </w:div>
        <w:div w:id="1373188428">
          <w:marLeft w:val="480"/>
          <w:marRight w:val="0"/>
          <w:marTop w:val="0"/>
          <w:marBottom w:val="0"/>
          <w:divBdr>
            <w:top w:val="none" w:sz="0" w:space="0" w:color="auto"/>
            <w:left w:val="none" w:sz="0" w:space="0" w:color="auto"/>
            <w:bottom w:val="none" w:sz="0" w:space="0" w:color="auto"/>
            <w:right w:val="none" w:sz="0" w:space="0" w:color="auto"/>
          </w:divBdr>
        </w:div>
        <w:div w:id="1369183120">
          <w:marLeft w:val="480"/>
          <w:marRight w:val="0"/>
          <w:marTop w:val="0"/>
          <w:marBottom w:val="0"/>
          <w:divBdr>
            <w:top w:val="none" w:sz="0" w:space="0" w:color="auto"/>
            <w:left w:val="none" w:sz="0" w:space="0" w:color="auto"/>
            <w:bottom w:val="none" w:sz="0" w:space="0" w:color="auto"/>
            <w:right w:val="none" w:sz="0" w:space="0" w:color="auto"/>
          </w:divBdr>
        </w:div>
        <w:div w:id="452137183">
          <w:marLeft w:val="480"/>
          <w:marRight w:val="0"/>
          <w:marTop w:val="0"/>
          <w:marBottom w:val="0"/>
          <w:divBdr>
            <w:top w:val="none" w:sz="0" w:space="0" w:color="auto"/>
            <w:left w:val="none" w:sz="0" w:space="0" w:color="auto"/>
            <w:bottom w:val="none" w:sz="0" w:space="0" w:color="auto"/>
            <w:right w:val="none" w:sz="0" w:space="0" w:color="auto"/>
          </w:divBdr>
        </w:div>
        <w:div w:id="1456829977">
          <w:marLeft w:val="480"/>
          <w:marRight w:val="0"/>
          <w:marTop w:val="0"/>
          <w:marBottom w:val="0"/>
          <w:divBdr>
            <w:top w:val="none" w:sz="0" w:space="0" w:color="auto"/>
            <w:left w:val="none" w:sz="0" w:space="0" w:color="auto"/>
            <w:bottom w:val="none" w:sz="0" w:space="0" w:color="auto"/>
            <w:right w:val="none" w:sz="0" w:space="0" w:color="auto"/>
          </w:divBdr>
        </w:div>
        <w:div w:id="930242498">
          <w:marLeft w:val="480"/>
          <w:marRight w:val="0"/>
          <w:marTop w:val="0"/>
          <w:marBottom w:val="0"/>
          <w:divBdr>
            <w:top w:val="none" w:sz="0" w:space="0" w:color="auto"/>
            <w:left w:val="none" w:sz="0" w:space="0" w:color="auto"/>
            <w:bottom w:val="none" w:sz="0" w:space="0" w:color="auto"/>
            <w:right w:val="none" w:sz="0" w:space="0" w:color="auto"/>
          </w:divBdr>
        </w:div>
        <w:div w:id="1078206245">
          <w:marLeft w:val="480"/>
          <w:marRight w:val="0"/>
          <w:marTop w:val="0"/>
          <w:marBottom w:val="0"/>
          <w:divBdr>
            <w:top w:val="none" w:sz="0" w:space="0" w:color="auto"/>
            <w:left w:val="none" w:sz="0" w:space="0" w:color="auto"/>
            <w:bottom w:val="none" w:sz="0" w:space="0" w:color="auto"/>
            <w:right w:val="none" w:sz="0" w:space="0" w:color="auto"/>
          </w:divBdr>
        </w:div>
        <w:div w:id="1660617902">
          <w:marLeft w:val="480"/>
          <w:marRight w:val="0"/>
          <w:marTop w:val="0"/>
          <w:marBottom w:val="0"/>
          <w:divBdr>
            <w:top w:val="none" w:sz="0" w:space="0" w:color="auto"/>
            <w:left w:val="none" w:sz="0" w:space="0" w:color="auto"/>
            <w:bottom w:val="none" w:sz="0" w:space="0" w:color="auto"/>
            <w:right w:val="none" w:sz="0" w:space="0" w:color="auto"/>
          </w:divBdr>
        </w:div>
        <w:div w:id="222453880">
          <w:marLeft w:val="480"/>
          <w:marRight w:val="0"/>
          <w:marTop w:val="0"/>
          <w:marBottom w:val="0"/>
          <w:divBdr>
            <w:top w:val="none" w:sz="0" w:space="0" w:color="auto"/>
            <w:left w:val="none" w:sz="0" w:space="0" w:color="auto"/>
            <w:bottom w:val="none" w:sz="0" w:space="0" w:color="auto"/>
            <w:right w:val="none" w:sz="0" w:space="0" w:color="auto"/>
          </w:divBdr>
        </w:div>
        <w:div w:id="2051755897">
          <w:marLeft w:val="480"/>
          <w:marRight w:val="0"/>
          <w:marTop w:val="0"/>
          <w:marBottom w:val="0"/>
          <w:divBdr>
            <w:top w:val="none" w:sz="0" w:space="0" w:color="auto"/>
            <w:left w:val="none" w:sz="0" w:space="0" w:color="auto"/>
            <w:bottom w:val="none" w:sz="0" w:space="0" w:color="auto"/>
            <w:right w:val="none" w:sz="0" w:space="0" w:color="auto"/>
          </w:divBdr>
        </w:div>
        <w:div w:id="2030791706">
          <w:marLeft w:val="480"/>
          <w:marRight w:val="0"/>
          <w:marTop w:val="0"/>
          <w:marBottom w:val="0"/>
          <w:divBdr>
            <w:top w:val="none" w:sz="0" w:space="0" w:color="auto"/>
            <w:left w:val="none" w:sz="0" w:space="0" w:color="auto"/>
            <w:bottom w:val="none" w:sz="0" w:space="0" w:color="auto"/>
            <w:right w:val="none" w:sz="0" w:space="0" w:color="auto"/>
          </w:divBdr>
        </w:div>
        <w:div w:id="985163281">
          <w:marLeft w:val="480"/>
          <w:marRight w:val="0"/>
          <w:marTop w:val="0"/>
          <w:marBottom w:val="0"/>
          <w:divBdr>
            <w:top w:val="none" w:sz="0" w:space="0" w:color="auto"/>
            <w:left w:val="none" w:sz="0" w:space="0" w:color="auto"/>
            <w:bottom w:val="none" w:sz="0" w:space="0" w:color="auto"/>
            <w:right w:val="none" w:sz="0" w:space="0" w:color="auto"/>
          </w:divBdr>
        </w:div>
        <w:div w:id="1358654518">
          <w:marLeft w:val="480"/>
          <w:marRight w:val="0"/>
          <w:marTop w:val="0"/>
          <w:marBottom w:val="0"/>
          <w:divBdr>
            <w:top w:val="none" w:sz="0" w:space="0" w:color="auto"/>
            <w:left w:val="none" w:sz="0" w:space="0" w:color="auto"/>
            <w:bottom w:val="none" w:sz="0" w:space="0" w:color="auto"/>
            <w:right w:val="none" w:sz="0" w:space="0" w:color="auto"/>
          </w:divBdr>
        </w:div>
        <w:div w:id="2128575166">
          <w:marLeft w:val="480"/>
          <w:marRight w:val="0"/>
          <w:marTop w:val="0"/>
          <w:marBottom w:val="0"/>
          <w:divBdr>
            <w:top w:val="none" w:sz="0" w:space="0" w:color="auto"/>
            <w:left w:val="none" w:sz="0" w:space="0" w:color="auto"/>
            <w:bottom w:val="none" w:sz="0" w:space="0" w:color="auto"/>
            <w:right w:val="none" w:sz="0" w:space="0" w:color="auto"/>
          </w:divBdr>
        </w:div>
        <w:div w:id="2007902615">
          <w:marLeft w:val="480"/>
          <w:marRight w:val="0"/>
          <w:marTop w:val="0"/>
          <w:marBottom w:val="0"/>
          <w:divBdr>
            <w:top w:val="none" w:sz="0" w:space="0" w:color="auto"/>
            <w:left w:val="none" w:sz="0" w:space="0" w:color="auto"/>
            <w:bottom w:val="none" w:sz="0" w:space="0" w:color="auto"/>
            <w:right w:val="none" w:sz="0" w:space="0" w:color="auto"/>
          </w:divBdr>
        </w:div>
        <w:div w:id="332033604">
          <w:marLeft w:val="480"/>
          <w:marRight w:val="0"/>
          <w:marTop w:val="0"/>
          <w:marBottom w:val="0"/>
          <w:divBdr>
            <w:top w:val="none" w:sz="0" w:space="0" w:color="auto"/>
            <w:left w:val="none" w:sz="0" w:space="0" w:color="auto"/>
            <w:bottom w:val="none" w:sz="0" w:space="0" w:color="auto"/>
            <w:right w:val="none" w:sz="0" w:space="0" w:color="auto"/>
          </w:divBdr>
        </w:div>
        <w:div w:id="1590961447">
          <w:marLeft w:val="480"/>
          <w:marRight w:val="0"/>
          <w:marTop w:val="0"/>
          <w:marBottom w:val="0"/>
          <w:divBdr>
            <w:top w:val="none" w:sz="0" w:space="0" w:color="auto"/>
            <w:left w:val="none" w:sz="0" w:space="0" w:color="auto"/>
            <w:bottom w:val="none" w:sz="0" w:space="0" w:color="auto"/>
            <w:right w:val="none" w:sz="0" w:space="0" w:color="auto"/>
          </w:divBdr>
        </w:div>
        <w:div w:id="1283271285">
          <w:marLeft w:val="480"/>
          <w:marRight w:val="0"/>
          <w:marTop w:val="0"/>
          <w:marBottom w:val="0"/>
          <w:divBdr>
            <w:top w:val="none" w:sz="0" w:space="0" w:color="auto"/>
            <w:left w:val="none" w:sz="0" w:space="0" w:color="auto"/>
            <w:bottom w:val="none" w:sz="0" w:space="0" w:color="auto"/>
            <w:right w:val="none" w:sz="0" w:space="0" w:color="auto"/>
          </w:divBdr>
        </w:div>
        <w:div w:id="1311255037">
          <w:marLeft w:val="480"/>
          <w:marRight w:val="0"/>
          <w:marTop w:val="0"/>
          <w:marBottom w:val="0"/>
          <w:divBdr>
            <w:top w:val="none" w:sz="0" w:space="0" w:color="auto"/>
            <w:left w:val="none" w:sz="0" w:space="0" w:color="auto"/>
            <w:bottom w:val="none" w:sz="0" w:space="0" w:color="auto"/>
            <w:right w:val="none" w:sz="0" w:space="0" w:color="auto"/>
          </w:divBdr>
        </w:div>
        <w:div w:id="1984893422">
          <w:marLeft w:val="480"/>
          <w:marRight w:val="0"/>
          <w:marTop w:val="0"/>
          <w:marBottom w:val="0"/>
          <w:divBdr>
            <w:top w:val="none" w:sz="0" w:space="0" w:color="auto"/>
            <w:left w:val="none" w:sz="0" w:space="0" w:color="auto"/>
            <w:bottom w:val="none" w:sz="0" w:space="0" w:color="auto"/>
            <w:right w:val="none" w:sz="0" w:space="0" w:color="auto"/>
          </w:divBdr>
        </w:div>
        <w:div w:id="2010710928">
          <w:marLeft w:val="480"/>
          <w:marRight w:val="0"/>
          <w:marTop w:val="0"/>
          <w:marBottom w:val="0"/>
          <w:divBdr>
            <w:top w:val="none" w:sz="0" w:space="0" w:color="auto"/>
            <w:left w:val="none" w:sz="0" w:space="0" w:color="auto"/>
            <w:bottom w:val="none" w:sz="0" w:space="0" w:color="auto"/>
            <w:right w:val="none" w:sz="0" w:space="0" w:color="auto"/>
          </w:divBdr>
        </w:div>
        <w:div w:id="583992995">
          <w:marLeft w:val="480"/>
          <w:marRight w:val="0"/>
          <w:marTop w:val="0"/>
          <w:marBottom w:val="0"/>
          <w:divBdr>
            <w:top w:val="none" w:sz="0" w:space="0" w:color="auto"/>
            <w:left w:val="none" w:sz="0" w:space="0" w:color="auto"/>
            <w:bottom w:val="none" w:sz="0" w:space="0" w:color="auto"/>
            <w:right w:val="none" w:sz="0" w:space="0" w:color="auto"/>
          </w:divBdr>
        </w:div>
        <w:div w:id="630474632">
          <w:marLeft w:val="480"/>
          <w:marRight w:val="0"/>
          <w:marTop w:val="0"/>
          <w:marBottom w:val="0"/>
          <w:divBdr>
            <w:top w:val="none" w:sz="0" w:space="0" w:color="auto"/>
            <w:left w:val="none" w:sz="0" w:space="0" w:color="auto"/>
            <w:bottom w:val="none" w:sz="0" w:space="0" w:color="auto"/>
            <w:right w:val="none" w:sz="0" w:space="0" w:color="auto"/>
          </w:divBdr>
        </w:div>
        <w:div w:id="1004359737">
          <w:marLeft w:val="480"/>
          <w:marRight w:val="0"/>
          <w:marTop w:val="0"/>
          <w:marBottom w:val="0"/>
          <w:divBdr>
            <w:top w:val="none" w:sz="0" w:space="0" w:color="auto"/>
            <w:left w:val="none" w:sz="0" w:space="0" w:color="auto"/>
            <w:bottom w:val="none" w:sz="0" w:space="0" w:color="auto"/>
            <w:right w:val="none" w:sz="0" w:space="0" w:color="auto"/>
          </w:divBdr>
        </w:div>
        <w:div w:id="1270237906">
          <w:marLeft w:val="480"/>
          <w:marRight w:val="0"/>
          <w:marTop w:val="0"/>
          <w:marBottom w:val="0"/>
          <w:divBdr>
            <w:top w:val="none" w:sz="0" w:space="0" w:color="auto"/>
            <w:left w:val="none" w:sz="0" w:space="0" w:color="auto"/>
            <w:bottom w:val="none" w:sz="0" w:space="0" w:color="auto"/>
            <w:right w:val="none" w:sz="0" w:space="0" w:color="auto"/>
          </w:divBdr>
        </w:div>
        <w:div w:id="46533174">
          <w:marLeft w:val="480"/>
          <w:marRight w:val="0"/>
          <w:marTop w:val="0"/>
          <w:marBottom w:val="0"/>
          <w:divBdr>
            <w:top w:val="none" w:sz="0" w:space="0" w:color="auto"/>
            <w:left w:val="none" w:sz="0" w:space="0" w:color="auto"/>
            <w:bottom w:val="none" w:sz="0" w:space="0" w:color="auto"/>
            <w:right w:val="none" w:sz="0" w:space="0" w:color="auto"/>
          </w:divBdr>
        </w:div>
        <w:div w:id="1420252210">
          <w:marLeft w:val="480"/>
          <w:marRight w:val="0"/>
          <w:marTop w:val="0"/>
          <w:marBottom w:val="0"/>
          <w:divBdr>
            <w:top w:val="none" w:sz="0" w:space="0" w:color="auto"/>
            <w:left w:val="none" w:sz="0" w:space="0" w:color="auto"/>
            <w:bottom w:val="none" w:sz="0" w:space="0" w:color="auto"/>
            <w:right w:val="none" w:sz="0" w:space="0" w:color="auto"/>
          </w:divBdr>
        </w:div>
        <w:div w:id="339352143">
          <w:marLeft w:val="480"/>
          <w:marRight w:val="0"/>
          <w:marTop w:val="0"/>
          <w:marBottom w:val="0"/>
          <w:divBdr>
            <w:top w:val="none" w:sz="0" w:space="0" w:color="auto"/>
            <w:left w:val="none" w:sz="0" w:space="0" w:color="auto"/>
            <w:bottom w:val="none" w:sz="0" w:space="0" w:color="auto"/>
            <w:right w:val="none" w:sz="0" w:space="0" w:color="auto"/>
          </w:divBdr>
        </w:div>
        <w:div w:id="1219632420">
          <w:marLeft w:val="480"/>
          <w:marRight w:val="0"/>
          <w:marTop w:val="0"/>
          <w:marBottom w:val="0"/>
          <w:divBdr>
            <w:top w:val="none" w:sz="0" w:space="0" w:color="auto"/>
            <w:left w:val="none" w:sz="0" w:space="0" w:color="auto"/>
            <w:bottom w:val="none" w:sz="0" w:space="0" w:color="auto"/>
            <w:right w:val="none" w:sz="0" w:space="0" w:color="auto"/>
          </w:divBdr>
        </w:div>
        <w:div w:id="273942742">
          <w:marLeft w:val="480"/>
          <w:marRight w:val="0"/>
          <w:marTop w:val="0"/>
          <w:marBottom w:val="0"/>
          <w:divBdr>
            <w:top w:val="none" w:sz="0" w:space="0" w:color="auto"/>
            <w:left w:val="none" w:sz="0" w:space="0" w:color="auto"/>
            <w:bottom w:val="none" w:sz="0" w:space="0" w:color="auto"/>
            <w:right w:val="none" w:sz="0" w:space="0" w:color="auto"/>
          </w:divBdr>
        </w:div>
        <w:div w:id="2111049429">
          <w:marLeft w:val="480"/>
          <w:marRight w:val="0"/>
          <w:marTop w:val="0"/>
          <w:marBottom w:val="0"/>
          <w:divBdr>
            <w:top w:val="none" w:sz="0" w:space="0" w:color="auto"/>
            <w:left w:val="none" w:sz="0" w:space="0" w:color="auto"/>
            <w:bottom w:val="none" w:sz="0" w:space="0" w:color="auto"/>
            <w:right w:val="none" w:sz="0" w:space="0" w:color="auto"/>
          </w:divBdr>
        </w:div>
        <w:div w:id="139463013">
          <w:marLeft w:val="480"/>
          <w:marRight w:val="0"/>
          <w:marTop w:val="0"/>
          <w:marBottom w:val="0"/>
          <w:divBdr>
            <w:top w:val="none" w:sz="0" w:space="0" w:color="auto"/>
            <w:left w:val="none" w:sz="0" w:space="0" w:color="auto"/>
            <w:bottom w:val="none" w:sz="0" w:space="0" w:color="auto"/>
            <w:right w:val="none" w:sz="0" w:space="0" w:color="auto"/>
          </w:divBdr>
        </w:div>
        <w:div w:id="1917474298">
          <w:marLeft w:val="480"/>
          <w:marRight w:val="0"/>
          <w:marTop w:val="0"/>
          <w:marBottom w:val="0"/>
          <w:divBdr>
            <w:top w:val="none" w:sz="0" w:space="0" w:color="auto"/>
            <w:left w:val="none" w:sz="0" w:space="0" w:color="auto"/>
            <w:bottom w:val="none" w:sz="0" w:space="0" w:color="auto"/>
            <w:right w:val="none" w:sz="0" w:space="0" w:color="auto"/>
          </w:divBdr>
        </w:div>
        <w:div w:id="2019654800">
          <w:marLeft w:val="480"/>
          <w:marRight w:val="0"/>
          <w:marTop w:val="0"/>
          <w:marBottom w:val="0"/>
          <w:divBdr>
            <w:top w:val="none" w:sz="0" w:space="0" w:color="auto"/>
            <w:left w:val="none" w:sz="0" w:space="0" w:color="auto"/>
            <w:bottom w:val="none" w:sz="0" w:space="0" w:color="auto"/>
            <w:right w:val="none" w:sz="0" w:space="0" w:color="auto"/>
          </w:divBdr>
        </w:div>
        <w:div w:id="1039546426">
          <w:marLeft w:val="480"/>
          <w:marRight w:val="0"/>
          <w:marTop w:val="0"/>
          <w:marBottom w:val="0"/>
          <w:divBdr>
            <w:top w:val="none" w:sz="0" w:space="0" w:color="auto"/>
            <w:left w:val="none" w:sz="0" w:space="0" w:color="auto"/>
            <w:bottom w:val="none" w:sz="0" w:space="0" w:color="auto"/>
            <w:right w:val="none" w:sz="0" w:space="0" w:color="auto"/>
          </w:divBdr>
        </w:div>
        <w:div w:id="799110456">
          <w:marLeft w:val="480"/>
          <w:marRight w:val="0"/>
          <w:marTop w:val="0"/>
          <w:marBottom w:val="0"/>
          <w:divBdr>
            <w:top w:val="none" w:sz="0" w:space="0" w:color="auto"/>
            <w:left w:val="none" w:sz="0" w:space="0" w:color="auto"/>
            <w:bottom w:val="none" w:sz="0" w:space="0" w:color="auto"/>
            <w:right w:val="none" w:sz="0" w:space="0" w:color="auto"/>
          </w:divBdr>
        </w:div>
        <w:div w:id="467011628">
          <w:marLeft w:val="480"/>
          <w:marRight w:val="0"/>
          <w:marTop w:val="0"/>
          <w:marBottom w:val="0"/>
          <w:divBdr>
            <w:top w:val="none" w:sz="0" w:space="0" w:color="auto"/>
            <w:left w:val="none" w:sz="0" w:space="0" w:color="auto"/>
            <w:bottom w:val="none" w:sz="0" w:space="0" w:color="auto"/>
            <w:right w:val="none" w:sz="0" w:space="0" w:color="auto"/>
          </w:divBdr>
        </w:div>
        <w:div w:id="12001084">
          <w:marLeft w:val="480"/>
          <w:marRight w:val="0"/>
          <w:marTop w:val="0"/>
          <w:marBottom w:val="0"/>
          <w:divBdr>
            <w:top w:val="none" w:sz="0" w:space="0" w:color="auto"/>
            <w:left w:val="none" w:sz="0" w:space="0" w:color="auto"/>
            <w:bottom w:val="none" w:sz="0" w:space="0" w:color="auto"/>
            <w:right w:val="none" w:sz="0" w:space="0" w:color="auto"/>
          </w:divBdr>
        </w:div>
        <w:div w:id="1172725134">
          <w:marLeft w:val="480"/>
          <w:marRight w:val="0"/>
          <w:marTop w:val="0"/>
          <w:marBottom w:val="0"/>
          <w:divBdr>
            <w:top w:val="none" w:sz="0" w:space="0" w:color="auto"/>
            <w:left w:val="none" w:sz="0" w:space="0" w:color="auto"/>
            <w:bottom w:val="none" w:sz="0" w:space="0" w:color="auto"/>
            <w:right w:val="none" w:sz="0" w:space="0" w:color="auto"/>
          </w:divBdr>
        </w:div>
        <w:div w:id="920799286">
          <w:marLeft w:val="480"/>
          <w:marRight w:val="0"/>
          <w:marTop w:val="0"/>
          <w:marBottom w:val="0"/>
          <w:divBdr>
            <w:top w:val="none" w:sz="0" w:space="0" w:color="auto"/>
            <w:left w:val="none" w:sz="0" w:space="0" w:color="auto"/>
            <w:bottom w:val="none" w:sz="0" w:space="0" w:color="auto"/>
            <w:right w:val="none" w:sz="0" w:space="0" w:color="auto"/>
          </w:divBdr>
        </w:div>
        <w:div w:id="1772164813">
          <w:marLeft w:val="480"/>
          <w:marRight w:val="0"/>
          <w:marTop w:val="0"/>
          <w:marBottom w:val="0"/>
          <w:divBdr>
            <w:top w:val="none" w:sz="0" w:space="0" w:color="auto"/>
            <w:left w:val="none" w:sz="0" w:space="0" w:color="auto"/>
            <w:bottom w:val="none" w:sz="0" w:space="0" w:color="auto"/>
            <w:right w:val="none" w:sz="0" w:space="0" w:color="auto"/>
          </w:divBdr>
        </w:div>
        <w:div w:id="1036002486">
          <w:marLeft w:val="480"/>
          <w:marRight w:val="0"/>
          <w:marTop w:val="0"/>
          <w:marBottom w:val="0"/>
          <w:divBdr>
            <w:top w:val="none" w:sz="0" w:space="0" w:color="auto"/>
            <w:left w:val="none" w:sz="0" w:space="0" w:color="auto"/>
            <w:bottom w:val="none" w:sz="0" w:space="0" w:color="auto"/>
            <w:right w:val="none" w:sz="0" w:space="0" w:color="auto"/>
          </w:divBdr>
        </w:div>
        <w:div w:id="1975669541">
          <w:marLeft w:val="480"/>
          <w:marRight w:val="0"/>
          <w:marTop w:val="0"/>
          <w:marBottom w:val="0"/>
          <w:divBdr>
            <w:top w:val="none" w:sz="0" w:space="0" w:color="auto"/>
            <w:left w:val="none" w:sz="0" w:space="0" w:color="auto"/>
            <w:bottom w:val="none" w:sz="0" w:space="0" w:color="auto"/>
            <w:right w:val="none" w:sz="0" w:space="0" w:color="auto"/>
          </w:divBdr>
        </w:div>
        <w:div w:id="1116755074">
          <w:marLeft w:val="480"/>
          <w:marRight w:val="0"/>
          <w:marTop w:val="0"/>
          <w:marBottom w:val="0"/>
          <w:divBdr>
            <w:top w:val="none" w:sz="0" w:space="0" w:color="auto"/>
            <w:left w:val="none" w:sz="0" w:space="0" w:color="auto"/>
            <w:bottom w:val="none" w:sz="0" w:space="0" w:color="auto"/>
            <w:right w:val="none" w:sz="0" w:space="0" w:color="auto"/>
          </w:divBdr>
        </w:div>
        <w:div w:id="445121994">
          <w:marLeft w:val="480"/>
          <w:marRight w:val="0"/>
          <w:marTop w:val="0"/>
          <w:marBottom w:val="0"/>
          <w:divBdr>
            <w:top w:val="none" w:sz="0" w:space="0" w:color="auto"/>
            <w:left w:val="none" w:sz="0" w:space="0" w:color="auto"/>
            <w:bottom w:val="none" w:sz="0" w:space="0" w:color="auto"/>
            <w:right w:val="none" w:sz="0" w:space="0" w:color="auto"/>
          </w:divBdr>
        </w:div>
        <w:div w:id="265305759">
          <w:marLeft w:val="480"/>
          <w:marRight w:val="0"/>
          <w:marTop w:val="0"/>
          <w:marBottom w:val="0"/>
          <w:divBdr>
            <w:top w:val="none" w:sz="0" w:space="0" w:color="auto"/>
            <w:left w:val="none" w:sz="0" w:space="0" w:color="auto"/>
            <w:bottom w:val="none" w:sz="0" w:space="0" w:color="auto"/>
            <w:right w:val="none" w:sz="0" w:space="0" w:color="auto"/>
          </w:divBdr>
        </w:div>
        <w:div w:id="1656832201">
          <w:marLeft w:val="480"/>
          <w:marRight w:val="0"/>
          <w:marTop w:val="0"/>
          <w:marBottom w:val="0"/>
          <w:divBdr>
            <w:top w:val="none" w:sz="0" w:space="0" w:color="auto"/>
            <w:left w:val="none" w:sz="0" w:space="0" w:color="auto"/>
            <w:bottom w:val="none" w:sz="0" w:space="0" w:color="auto"/>
            <w:right w:val="none" w:sz="0" w:space="0" w:color="auto"/>
          </w:divBdr>
        </w:div>
        <w:div w:id="1865552973">
          <w:marLeft w:val="480"/>
          <w:marRight w:val="0"/>
          <w:marTop w:val="0"/>
          <w:marBottom w:val="0"/>
          <w:divBdr>
            <w:top w:val="none" w:sz="0" w:space="0" w:color="auto"/>
            <w:left w:val="none" w:sz="0" w:space="0" w:color="auto"/>
            <w:bottom w:val="none" w:sz="0" w:space="0" w:color="auto"/>
            <w:right w:val="none" w:sz="0" w:space="0" w:color="auto"/>
          </w:divBdr>
        </w:div>
        <w:div w:id="1749302855">
          <w:marLeft w:val="480"/>
          <w:marRight w:val="0"/>
          <w:marTop w:val="0"/>
          <w:marBottom w:val="0"/>
          <w:divBdr>
            <w:top w:val="none" w:sz="0" w:space="0" w:color="auto"/>
            <w:left w:val="none" w:sz="0" w:space="0" w:color="auto"/>
            <w:bottom w:val="none" w:sz="0" w:space="0" w:color="auto"/>
            <w:right w:val="none" w:sz="0" w:space="0" w:color="auto"/>
          </w:divBdr>
        </w:div>
        <w:div w:id="1182478457">
          <w:marLeft w:val="480"/>
          <w:marRight w:val="0"/>
          <w:marTop w:val="0"/>
          <w:marBottom w:val="0"/>
          <w:divBdr>
            <w:top w:val="none" w:sz="0" w:space="0" w:color="auto"/>
            <w:left w:val="none" w:sz="0" w:space="0" w:color="auto"/>
            <w:bottom w:val="none" w:sz="0" w:space="0" w:color="auto"/>
            <w:right w:val="none" w:sz="0" w:space="0" w:color="auto"/>
          </w:divBdr>
        </w:div>
        <w:div w:id="831069679">
          <w:marLeft w:val="480"/>
          <w:marRight w:val="0"/>
          <w:marTop w:val="0"/>
          <w:marBottom w:val="0"/>
          <w:divBdr>
            <w:top w:val="none" w:sz="0" w:space="0" w:color="auto"/>
            <w:left w:val="none" w:sz="0" w:space="0" w:color="auto"/>
            <w:bottom w:val="none" w:sz="0" w:space="0" w:color="auto"/>
            <w:right w:val="none" w:sz="0" w:space="0" w:color="auto"/>
          </w:divBdr>
        </w:div>
        <w:div w:id="2031298860">
          <w:marLeft w:val="480"/>
          <w:marRight w:val="0"/>
          <w:marTop w:val="0"/>
          <w:marBottom w:val="0"/>
          <w:divBdr>
            <w:top w:val="none" w:sz="0" w:space="0" w:color="auto"/>
            <w:left w:val="none" w:sz="0" w:space="0" w:color="auto"/>
            <w:bottom w:val="none" w:sz="0" w:space="0" w:color="auto"/>
            <w:right w:val="none" w:sz="0" w:space="0" w:color="auto"/>
          </w:divBdr>
        </w:div>
        <w:div w:id="421682810">
          <w:marLeft w:val="480"/>
          <w:marRight w:val="0"/>
          <w:marTop w:val="0"/>
          <w:marBottom w:val="0"/>
          <w:divBdr>
            <w:top w:val="none" w:sz="0" w:space="0" w:color="auto"/>
            <w:left w:val="none" w:sz="0" w:space="0" w:color="auto"/>
            <w:bottom w:val="none" w:sz="0" w:space="0" w:color="auto"/>
            <w:right w:val="none" w:sz="0" w:space="0" w:color="auto"/>
          </w:divBdr>
        </w:div>
        <w:div w:id="231239874">
          <w:marLeft w:val="480"/>
          <w:marRight w:val="0"/>
          <w:marTop w:val="0"/>
          <w:marBottom w:val="0"/>
          <w:divBdr>
            <w:top w:val="none" w:sz="0" w:space="0" w:color="auto"/>
            <w:left w:val="none" w:sz="0" w:space="0" w:color="auto"/>
            <w:bottom w:val="none" w:sz="0" w:space="0" w:color="auto"/>
            <w:right w:val="none" w:sz="0" w:space="0" w:color="auto"/>
          </w:divBdr>
        </w:div>
        <w:div w:id="1950159709">
          <w:marLeft w:val="480"/>
          <w:marRight w:val="0"/>
          <w:marTop w:val="0"/>
          <w:marBottom w:val="0"/>
          <w:divBdr>
            <w:top w:val="none" w:sz="0" w:space="0" w:color="auto"/>
            <w:left w:val="none" w:sz="0" w:space="0" w:color="auto"/>
            <w:bottom w:val="none" w:sz="0" w:space="0" w:color="auto"/>
            <w:right w:val="none" w:sz="0" w:space="0" w:color="auto"/>
          </w:divBdr>
        </w:div>
        <w:div w:id="1594438978">
          <w:marLeft w:val="480"/>
          <w:marRight w:val="0"/>
          <w:marTop w:val="0"/>
          <w:marBottom w:val="0"/>
          <w:divBdr>
            <w:top w:val="none" w:sz="0" w:space="0" w:color="auto"/>
            <w:left w:val="none" w:sz="0" w:space="0" w:color="auto"/>
            <w:bottom w:val="none" w:sz="0" w:space="0" w:color="auto"/>
            <w:right w:val="none" w:sz="0" w:space="0" w:color="auto"/>
          </w:divBdr>
        </w:div>
        <w:div w:id="1101025346">
          <w:marLeft w:val="480"/>
          <w:marRight w:val="0"/>
          <w:marTop w:val="0"/>
          <w:marBottom w:val="0"/>
          <w:divBdr>
            <w:top w:val="none" w:sz="0" w:space="0" w:color="auto"/>
            <w:left w:val="none" w:sz="0" w:space="0" w:color="auto"/>
            <w:bottom w:val="none" w:sz="0" w:space="0" w:color="auto"/>
            <w:right w:val="none" w:sz="0" w:space="0" w:color="auto"/>
          </w:divBdr>
        </w:div>
        <w:div w:id="301890898">
          <w:marLeft w:val="480"/>
          <w:marRight w:val="0"/>
          <w:marTop w:val="0"/>
          <w:marBottom w:val="0"/>
          <w:divBdr>
            <w:top w:val="none" w:sz="0" w:space="0" w:color="auto"/>
            <w:left w:val="none" w:sz="0" w:space="0" w:color="auto"/>
            <w:bottom w:val="none" w:sz="0" w:space="0" w:color="auto"/>
            <w:right w:val="none" w:sz="0" w:space="0" w:color="auto"/>
          </w:divBdr>
        </w:div>
        <w:div w:id="1574851449">
          <w:marLeft w:val="480"/>
          <w:marRight w:val="0"/>
          <w:marTop w:val="0"/>
          <w:marBottom w:val="0"/>
          <w:divBdr>
            <w:top w:val="none" w:sz="0" w:space="0" w:color="auto"/>
            <w:left w:val="none" w:sz="0" w:space="0" w:color="auto"/>
            <w:bottom w:val="none" w:sz="0" w:space="0" w:color="auto"/>
            <w:right w:val="none" w:sz="0" w:space="0" w:color="auto"/>
          </w:divBdr>
        </w:div>
        <w:div w:id="1793595182">
          <w:marLeft w:val="480"/>
          <w:marRight w:val="0"/>
          <w:marTop w:val="0"/>
          <w:marBottom w:val="0"/>
          <w:divBdr>
            <w:top w:val="none" w:sz="0" w:space="0" w:color="auto"/>
            <w:left w:val="none" w:sz="0" w:space="0" w:color="auto"/>
            <w:bottom w:val="none" w:sz="0" w:space="0" w:color="auto"/>
            <w:right w:val="none" w:sz="0" w:space="0" w:color="auto"/>
          </w:divBdr>
        </w:div>
        <w:div w:id="1173570692">
          <w:marLeft w:val="480"/>
          <w:marRight w:val="0"/>
          <w:marTop w:val="0"/>
          <w:marBottom w:val="0"/>
          <w:divBdr>
            <w:top w:val="none" w:sz="0" w:space="0" w:color="auto"/>
            <w:left w:val="none" w:sz="0" w:space="0" w:color="auto"/>
            <w:bottom w:val="none" w:sz="0" w:space="0" w:color="auto"/>
            <w:right w:val="none" w:sz="0" w:space="0" w:color="auto"/>
          </w:divBdr>
        </w:div>
        <w:div w:id="152916791">
          <w:marLeft w:val="480"/>
          <w:marRight w:val="0"/>
          <w:marTop w:val="0"/>
          <w:marBottom w:val="0"/>
          <w:divBdr>
            <w:top w:val="none" w:sz="0" w:space="0" w:color="auto"/>
            <w:left w:val="none" w:sz="0" w:space="0" w:color="auto"/>
            <w:bottom w:val="none" w:sz="0" w:space="0" w:color="auto"/>
            <w:right w:val="none" w:sz="0" w:space="0" w:color="auto"/>
          </w:divBdr>
        </w:div>
        <w:div w:id="2021927333">
          <w:marLeft w:val="480"/>
          <w:marRight w:val="0"/>
          <w:marTop w:val="0"/>
          <w:marBottom w:val="0"/>
          <w:divBdr>
            <w:top w:val="none" w:sz="0" w:space="0" w:color="auto"/>
            <w:left w:val="none" w:sz="0" w:space="0" w:color="auto"/>
            <w:bottom w:val="none" w:sz="0" w:space="0" w:color="auto"/>
            <w:right w:val="none" w:sz="0" w:space="0" w:color="auto"/>
          </w:divBdr>
        </w:div>
        <w:div w:id="863205046">
          <w:marLeft w:val="480"/>
          <w:marRight w:val="0"/>
          <w:marTop w:val="0"/>
          <w:marBottom w:val="0"/>
          <w:divBdr>
            <w:top w:val="none" w:sz="0" w:space="0" w:color="auto"/>
            <w:left w:val="none" w:sz="0" w:space="0" w:color="auto"/>
            <w:bottom w:val="none" w:sz="0" w:space="0" w:color="auto"/>
            <w:right w:val="none" w:sz="0" w:space="0" w:color="auto"/>
          </w:divBdr>
        </w:div>
        <w:div w:id="1404403087">
          <w:marLeft w:val="480"/>
          <w:marRight w:val="0"/>
          <w:marTop w:val="0"/>
          <w:marBottom w:val="0"/>
          <w:divBdr>
            <w:top w:val="none" w:sz="0" w:space="0" w:color="auto"/>
            <w:left w:val="none" w:sz="0" w:space="0" w:color="auto"/>
            <w:bottom w:val="none" w:sz="0" w:space="0" w:color="auto"/>
            <w:right w:val="none" w:sz="0" w:space="0" w:color="auto"/>
          </w:divBdr>
        </w:div>
        <w:div w:id="299960496">
          <w:marLeft w:val="480"/>
          <w:marRight w:val="0"/>
          <w:marTop w:val="0"/>
          <w:marBottom w:val="0"/>
          <w:divBdr>
            <w:top w:val="none" w:sz="0" w:space="0" w:color="auto"/>
            <w:left w:val="none" w:sz="0" w:space="0" w:color="auto"/>
            <w:bottom w:val="none" w:sz="0" w:space="0" w:color="auto"/>
            <w:right w:val="none" w:sz="0" w:space="0" w:color="auto"/>
          </w:divBdr>
        </w:div>
        <w:div w:id="1171486000">
          <w:marLeft w:val="480"/>
          <w:marRight w:val="0"/>
          <w:marTop w:val="0"/>
          <w:marBottom w:val="0"/>
          <w:divBdr>
            <w:top w:val="none" w:sz="0" w:space="0" w:color="auto"/>
            <w:left w:val="none" w:sz="0" w:space="0" w:color="auto"/>
            <w:bottom w:val="none" w:sz="0" w:space="0" w:color="auto"/>
            <w:right w:val="none" w:sz="0" w:space="0" w:color="auto"/>
          </w:divBdr>
        </w:div>
        <w:div w:id="1690911584">
          <w:marLeft w:val="480"/>
          <w:marRight w:val="0"/>
          <w:marTop w:val="0"/>
          <w:marBottom w:val="0"/>
          <w:divBdr>
            <w:top w:val="none" w:sz="0" w:space="0" w:color="auto"/>
            <w:left w:val="none" w:sz="0" w:space="0" w:color="auto"/>
            <w:bottom w:val="none" w:sz="0" w:space="0" w:color="auto"/>
            <w:right w:val="none" w:sz="0" w:space="0" w:color="auto"/>
          </w:divBdr>
        </w:div>
        <w:div w:id="1266225986">
          <w:marLeft w:val="480"/>
          <w:marRight w:val="0"/>
          <w:marTop w:val="0"/>
          <w:marBottom w:val="0"/>
          <w:divBdr>
            <w:top w:val="none" w:sz="0" w:space="0" w:color="auto"/>
            <w:left w:val="none" w:sz="0" w:space="0" w:color="auto"/>
            <w:bottom w:val="none" w:sz="0" w:space="0" w:color="auto"/>
            <w:right w:val="none" w:sz="0" w:space="0" w:color="auto"/>
          </w:divBdr>
        </w:div>
        <w:div w:id="1454596830">
          <w:marLeft w:val="480"/>
          <w:marRight w:val="0"/>
          <w:marTop w:val="0"/>
          <w:marBottom w:val="0"/>
          <w:divBdr>
            <w:top w:val="none" w:sz="0" w:space="0" w:color="auto"/>
            <w:left w:val="none" w:sz="0" w:space="0" w:color="auto"/>
            <w:bottom w:val="none" w:sz="0" w:space="0" w:color="auto"/>
            <w:right w:val="none" w:sz="0" w:space="0" w:color="auto"/>
          </w:divBdr>
        </w:div>
        <w:div w:id="1931348760">
          <w:marLeft w:val="480"/>
          <w:marRight w:val="0"/>
          <w:marTop w:val="0"/>
          <w:marBottom w:val="0"/>
          <w:divBdr>
            <w:top w:val="none" w:sz="0" w:space="0" w:color="auto"/>
            <w:left w:val="none" w:sz="0" w:space="0" w:color="auto"/>
            <w:bottom w:val="none" w:sz="0" w:space="0" w:color="auto"/>
            <w:right w:val="none" w:sz="0" w:space="0" w:color="auto"/>
          </w:divBdr>
        </w:div>
        <w:div w:id="622544497">
          <w:marLeft w:val="480"/>
          <w:marRight w:val="0"/>
          <w:marTop w:val="0"/>
          <w:marBottom w:val="0"/>
          <w:divBdr>
            <w:top w:val="none" w:sz="0" w:space="0" w:color="auto"/>
            <w:left w:val="none" w:sz="0" w:space="0" w:color="auto"/>
            <w:bottom w:val="none" w:sz="0" w:space="0" w:color="auto"/>
            <w:right w:val="none" w:sz="0" w:space="0" w:color="auto"/>
          </w:divBdr>
        </w:div>
        <w:div w:id="59716185">
          <w:marLeft w:val="480"/>
          <w:marRight w:val="0"/>
          <w:marTop w:val="0"/>
          <w:marBottom w:val="0"/>
          <w:divBdr>
            <w:top w:val="none" w:sz="0" w:space="0" w:color="auto"/>
            <w:left w:val="none" w:sz="0" w:space="0" w:color="auto"/>
            <w:bottom w:val="none" w:sz="0" w:space="0" w:color="auto"/>
            <w:right w:val="none" w:sz="0" w:space="0" w:color="auto"/>
          </w:divBdr>
        </w:div>
        <w:div w:id="101070556">
          <w:marLeft w:val="480"/>
          <w:marRight w:val="0"/>
          <w:marTop w:val="0"/>
          <w:marBottom w:val="0"/>
          <w:divBdr>
            <w:top w:val="none" w:sz="0" w:space="0" w:color="auto"/>
            <w:left w:val="none" w:sz="0" w:space="0" w:color="auto"/>
            <w:bottom w:val="none" w:sz="0" w:space="0" w:color="auto"/>
            <w:right w:val="none" w:sz="0" w:space="0" w:color="auto"/>
          </w:divBdr>
        </w:div>
        <w:div w:id="668481751">
          <w:marLeft w:val="480"/>
          <w:marRight w:val="0"/>
          <w:marTop w:val="0"/>
          <w:marBottom w:val="0"/>
          <w:divBdr>
            <w:top w:val="none" w:sz="0" w:space="0" w:color="auto"/>
            <w:left w:val="none" w:sz="0" w:space="0" w:color="auto"/>
            <w:bottom w:val="none" w:sz="0" w:space="0" w:color="auto"/>
            <w:right w:val="none" w:sz="0" w:space="0" w:color="auto"/>
          </w:divBdr>
        </w:div>
        <w:div w:id="627316367">
          <w:marLeft w:val="480"/>
          <w:marRight w:val="0"/>
          <w:marTop w:val="0"/>
          <w:marBottom w:val="0"/>
          <w:divBdr>
            <w:top w:val="none" w:sz="0" w:space="0" w:color="auto"/>
            <w:left w:val="none" w:sz="0" w:space="0" w:color="auto"/>
            <w:bottom w:val="none" w:sz="0" w:space="0" w:color="auto"/>
            <w:right w:val="none" w:sz="0" w:space="0" w:color="auto"/>
          </w:divBdr>
        </w:div>
        <w:div w:id="2132283280">
          <w:marLeft w:val="480"/>
          <w:marRight w:val="0"/>
          <w:marTop w:val="0"/>
          <w:marBottom w:val="0"/>
          <w:divBdr>
            <w:top w:val="none" w:sz="0" w:space="0" w:color="auto"/>
            <w:left w:val="none" w:sz="0" w:space="0" w:color="auto"/>
            <w:bottom w:val="none" w:sz="0" w:space="0" w:color="auto"/>
            <w:right w:val="none" w:sz="0" w:space="0" w:color="auto"/>
          </w:divBdr>
        </w:div>
        <w:div w:id="236868250">
          <w:marLeft w:val="480"/>
          <w:marRight w:val="0"/>
          <w:marTop w:val="0"/>
          <w:marBottom w:val="0"/>
          <w:divBdr>
            <w:top w:val="none" w:sz="0" w:space="0" w:color="auto"/>
            <w:left w:val="none" w:sz="0" w:space="0" w:color="auto"/>
            <w:bottom w:val="none" w:sz="0" w:space="0" w:color="auto"/>
            <w:right w:val="none" w:sz="0" w:space="0" w:color="auto"/>
          </w:divBdr>
        </w:div>
        <w:div w:id="131873614">
          <w:marLeft w:val="480"/>
          <w:marRight w:val="0"/>
          <w:marTop w:val="0"/>
          <w:marBottom w:val="0"/>
          <w:divBdr>
            <w:top w:val="none" w:sz="0" w:space="0" w:color="auto"/>
            <w:left w:val="none" w:sz="0" w:space="0" w:color="auto"/>
            <w:bottom w:val="none" w:sz="0" w:space="0" w:color="auto"/>
            <w:right w:val="none" w:sz="0" w:space="0" w:color="auto"/>
          </w:divBdr>
        </w:div>
        <w:div w:id="1063868278">
          <w:marLeft w:val="480"/>
          <w:marRight w:val="0"/>
          <w:marTop w:val="0"/>
          <w:marBottom w:val="0"/>
          <w:divBdr>
            <w:top w:val="none" w:sz="0" w:space="0" w:color="auto"/>
            <w:left w:val="none" w:sz="0" w:space="0" w:color="auto"/>
            <w:bottom w:val="none" w:sz="0" w:space="0" w:color="auto"/>
            <w:right w:val="none" w:sz="0" w:space="0" w:color="auto"/>
          </w:divBdr>
        </w:div>
        <w:div w:id="2121728096">
          <w:marLeft w:val="480"/>
          <w:marRight w:val="0"/>
          <w:marTop w:val="0"/>
          <w:marBottom w:val="0"/>
          <w:divBdr>
            <w:top w:val="none" w:sz="0" w:space="0" w:color="auto"/>
            <w:left w:val="none" w:sz="0" w:space="0" w:color="auto"/>
            <w:bottom w:val="none" w:sz="0" w:space="0" w:color="auto"/>
            <w:right w:val="none" w:sz="0" w:space="0" w:color="auto"/>
          </w:divBdr>
        </w:div>
        <w:div w:id="1481995850">
          <w:marLeft w:val="480"/>
          <w:marRight w:val="0"/>
          <w:marTop w:val="0"/>
          <w:marBottom w:val="0"/>
          <w:divBdr>
            <w:top w:val="none" w:sz="0" w:space="0" w:color="auto"/>
            <w:left w:val="none" w:sz="0" w:space="0" w:color="auto"/>
            <w:bottom w:val="none" w:sz="0" w:space="0" w:color="auto"/>
            <w:right w:val="none" w:sz="0" w:space="0" w:color="auto"/>
          </w:divBdr>
        </w:div>
        <w:div w:id="502820922">
          <w:marLeft w:val="480"/>
          <w:marRight w:val="0"/>
          <w:marTop w:val="0"/>
          <w:marBottom w:val="0"/>
          <w:divBdr>
            <w:top w:val="none" w:sz="0" w:space="0" w:color="auto"/>
            <w:left w:val="none" w:sz="0" w:space="0" w:color="auto"/>
            <w:bottom w:val="none" w:sz="0" w:space="0" w:color="auto"/>
            <w:right w:val="none" w:sz="0" w:space="0" w:color="auto"/>
          </w:divBdr>
        </w:div>
      </w:divsChild>
    </w:div>
    <w:div w:id="735054777">
      <w:bodyDiv w:val="1"/>
      <w:marLeft w:val="0"/>
      <w:marRight w:val="0"/>
      <w:marTop w:val="0"/>
      <w:marBottom w:val="0"/>
      <w:divBdr>
        <w:top w:val="none" w:sz="0" w:space="0" w:color="auto"/>
        <w:left w:val="none" w:sz="0" w:space="0" w:color="auto"/>
        <w:bottom w:val="none" w:sz="0" w:space="0" w:color="auto"/>
        <w:right w:val="none" w:sz="0" w:space="0" w:color="auto"/>
      </w:divBdr>
      <w:divsChild>
        <w:div w:id="2001228634">
          <w:marLeft w:val="480"/>
          <w:marRight w:val="0"/>
          <w:marTop w:val="0"/>
          <w:marBottom w:val="0"/>
          <w:divBdr>
            <w:top w:val="none" w:sz="0" w:space="0" w:color="auto"/>
            <w:left w:val="none" w:sz="0" w:space="0" w:color="auto"/>
            <w:bottom w:val="none" w:sz="0" w:space="0" w:color="auto"/>
            <w:right w:val="none" w:sz="0" w:space="0" w:color="auto"/>
          </w:divBdr>
        </w:div>
        <w:div w:id="1022588723">
          <w:marLeft w:val="480"/>
          <w:marRight w:val="0"/>
          <w:marTop w:val="0"/>
          <w:marBottom w:val="0"/>
          <w:divBdr>
            <w:top w:val="none" w:sz="0" w:space="0" w:color="auto"/>
            <w:left w:val="none" w:sz="0" w:space="0" w:color="auto"/>
            <w:bottom w:val="none" w:sz="0" w:space="0" w:color="auto"/>
            <w:right w:val="none" w:sz="0" w:space="0" w:color="auto"/>
          </w:divBdr>
        </w:div>
        <w:div w:id="2131630776">
          <w:marLeft w:val="480"/>
          <w:marRight w:val="0"/>
          <w:marTop w:val="0"/>
          <w:marBottom w:val="0"/>
          <w:divBdr>
            <w:top w:val="none" w:sz="0" w:space="0" w:color="auto"/>
            <w:left w:val="none" w:sz="0" w:space="0" w:color="auto"/>
            <w:bottom w:val="none" w:sz="0" w:space="0" w:color="auto"/>
            <w:right w:val="none" w:sz="0" w:space="0" w:color="auto"/>
          </w:divBdr>
        </w:div>
        <w:div w:id="266081515">
          <w:marLeft w:val="480"/>
          <w:marRight w:val="0"/>
          <w:marTop w:val="0"/>
          <w:marBottom w:val="0"/>
          <w:divBdr>
            <w:top w:val="none" w:sz="0" w:space="0" w:color="auto"/>
            <w:left w:val="none" w:sz="0" w:space="0" w:color="auto"/>
            <w:bottom w:val="none" w:sz="0" w:space="0" w:color="auto"/>
            <w:right w:val="none" w:sz="0" w:space="0" w:color="auto"/>
          </w:divBdr>
        </w:div>
        <w:div w:id="473521660">
          <w:marLeft w:val="480"/>
          <w:marRight w:val="0"/>
          <w:marTop w:val="0"/>
          <w:marBottom w:val="0"/>
          <w:divBdr>
            <w:top w:val="none" w:sz="0" w:space="0" w:color="auto"/>
            <w:left w:val="none" w:sz="0" w:space="0" w:color="auto"/>
            <w:bottom w:val="none" w:sz="0" w:space="0" w:color="auto"/>
            <w:right w:val="none" w:sz="0" w:space="0" w:color="auto"/>
          </w:divBdr>
        </w:div>
        <w:div w:id="1121000601">
          <w:marLeft w:val="480"/>
          <w:marRight w:val="0"/>
          <w:marTop w:val="0"/>
          <w:marBottom w:val="0"/>
          <w:divBdr>
            <w:top w:val="none" w:sz="0" w:space="0" w:color="auto"/>
            <w:left w:val="none" w:sz="0" w:space="0" w:color="auto"/>
            <w:bottom w:val="none" w:sz="0" w:space="0" w:color="auto"/>
            <w:right w:val="none" w:sz="0" w:space="0" w:color="auto"/>
          </w:divBdr>
        </w:div>
        <w:div w:id="860512670">
          <w:marLeft w:val="480"/>
          <w:marRight w:val="0"/>
          <w:marTop w:val="0"/>
          <w:marBottom w:val="0"/>
          <w:divBdr>
            <w:top w:val="none" w:sz="0" w:space="0" w:color="auto"/>
            <w:left w:val="none" w:sz="0" w:space="0" w:color="auto"/>
            <w:bottom w:val="none" w:sz="0" w:space="0" w:color="auto"/>
            <w:right w:val="none" w:sz="0" w:space="0" w:color="auto"/>
          </w:divBdr>
        </w:div>
        <w:div w:id="2093968122">
          <w:marLeft w:val="480"/>
          <w:marRight w:val="0"/>
          <w:marTop w:val="0"/>
          <w:marBottom w:val="0"/>
          <w:divBdr>
            <w:top w:val="none" w:sz="0" w:space="0" w:color="auto"/>
            <w:left w:val="none" w:sz="0" w:space="0" w:color="auto"/>
            <w:bottom w:val="none" w:sz="0" w:space="0" w:color="auto"/>
            <w:right w:val="none" w:sz="0" w:space="0" w:color="auto"/>
          </w:divBdr>
        </w:div>
        <w:div w:id="778915181">
          <w:marLeft w:val="480"/>
          <w:marRight w:val="0"/>
          <w:marTop w:val="0"/>
          <w:marBottom w:val="0"/>
          <w:divBdr>
            <w:top w:val="none" w:sz="0" w:space="0" w:color="auto"/>
            <w:left w:val="none" w:sz="0" w:space="0" w:color="auto"/>
            <w:bottom w:val="none" w:sz="0" w:space="0" w:color="auto"/>
            <w:right w:val="none" w:sz="0" w:space="0" w:color="auto"/>
          </w:divBdr>
        </w:div>
        <w:div w:id="1806122197">
          <w:marLeft w:val="480"/>
          <w:marRight w:val="0"/>
          <w:marTop w:val="0"/>
          <w:marBottom w:val="0"/>
          <w:divBdr>
            <w:top w:val="none" w:sz="0" w:space="0" w:color="auto"/>
            <w:left w:val="none" w:sz="0" w:space="0" w:color="auto"/>
            <w:bottom w:val="none" w:sz="0" w:space="0" w:color="auto"/>
            <w:right w:val="none" w:sz="0" w:space="0" w:color="auto"/>
          </w:divBdr>
        </w:div>
        <w:div w:id="1445804059">
          <w:marLeft w:val="480"/>
          <w:marRight w:val="0"/>
          <w:marTop w:val="0"/>
          <w:marBottom w:val="0"/>
          <w:divBdr>
            <w:top w:val="none" w:sz="0" w:space="0" w:color="auto"/>
            <w:left w:val="none" w:sz="0" w:space="0" w:color="auto"/>
            <w:bottom w:val="none" w:sz="0" w:space="0" w:color="auto"/>
            <w:right w:val="none" w:sz="0" w:space="0" w:color="auto"/>
          </w:divBdr>
        </w:div>
        <w:div w:id="85002620">
          <w:marLeft w:val="480"/>
          <w:marRight w:val="0"/>
          <w:marTop w:val="0"/>
          <w:marBottom w:val="0"/>
          <w:divBdr>
            <w:top w:val="none" w:sz="0" w:space="0" w:color="auto"/>
            <w:left w:val="none" w:sz="0" w:space="0" w:color="auto"/>
            <w:bottom w:val="none" w:sz="0" w:space="0" w:color="auto"/>
            <w:right w:val="none" w:sz="0" w:space="0" w:color="auto"/>
          </w:divBdr>
        </w:div>
        <w:div w:id="1468934294">
          <w:marLeft w:val="480"/>
          <w:marRight w:val="0"/>
          <w:marTop w:val="0"/>
          <w:marBottom w:val="0"/>
          <w:divBdr>
            <w:top w:val="none" w:sz="0" w:space="0" w:color="auto"/>
            <w:left w:val="none" w:sz="0" w:space="0" w:color="auto"/>
            <w:bottom w:val="none" w:sz="0" w:space="0" w:color="auto"/>
            <w:right w:val="none" w:sz="0" w:space="0" w:color="auto"/>
          </w:divBdr>
        </w:div>
        <w:div w:id="581330488">
          <w:marLeft w:val="480"/>
          <w:marRight w:val="0"/>
          <w:marTop w:val="0"/>
          <w:marBottom w:val="0"/>
          <w:divBdr>
            <w:top w:val="none" w:sz="0" w:space="0" w:color="auto"/>
            <w:left w:val="none" w:sz="0" w:space="0" w:color="auto"/>
            <w:bottom w:val="none" w:sz="0" w:space="0" w:color="auto"/>
            <w:right w:val="none" w:sz="0" w:space="0" w:color="auto"/>
          </w:divBdr>
        </w:div>
        <w:div w:id="532500235">
          <w:marLeft w:val="480"/>
          <w:marRight w:val="0"/>
          <w:marTop w:val="0"/>
          <w:marBottom w:val="0"/>
          <w:divBdr>
            <w:top w:val="none" w:sz="0" w:space="0" w:color="auto"/>
            <w:left w:val="none" w:sz="0" w:space="0" w:color="auto"/>
            <w:bottom w:val="none" w:sz="0" w:space="0" w:color="auto"/>
            <w:right w:val="none" w:sz="0" w:space="0" w:color="auto"/>
          </w:divBdr>
        </w:div>
        <w:div w:id="2091154857">
          <w:marLeft w:val="480"/>
          <w:marRight w:val="0"/>
          <w:marTop w:val="0"/>
          <w:marBottom w:val="0"/>
          <w:divBdr>
            <w:top w:val="none" w:sz="0" w:space="0" w:color="auto"/>
            <w:left w:val="none" w:sz="0" w:space="0" w:color="auto"/>
            <w:bottom w:val="none" w:sz="0" w:space="0" w:color="auto"/>
            <w:right w:val="none" w:sz="0" w:space="0" w:color="auto"/>
          </w:divBdr>
        </w:div>
        <w:div w:id="1729186323">
          <w:marLeft w:val="480"/>
          <w:marRight w:val="0"/>
          <w:marTop w:val="0"/>
          <w:marBottom w:val="0"/>
          <w:divBdr>
            <w:top w:val="none" w:sz="0" w:space="0" w:color="auto"/>
            <w:left w:val="none" w:sz="0" w:space="0" w:color="auto"/>
            <w:bottom w:val="none" w:sz="0" w:space="0" w:color="auto"/>
            <w:right w:val="none" w:sz="0" w:space="0" w:color="auto"/>
          </w:divBdr>
        </w:div>
        <w:div w:id="1664164337">
          <w:marLeft w:val="480"/>
          <w:marRight w:val="0"/>
          <w:marTop w:val="0"/>
          <w:marBottom w:val="0"/>
          <w:divBdr>
            <w:top w:val="none" w:sz="0" w:space="0" w:color="auto"/>
            <w:left w:val="none" w:sz="0" w:space="0" w:color="auto"/>
            <w:bottom w:val="none" w:sz="0" w:space="0" w:color="auto"/>
            <w:right w:val="none" w:sz="0" w:space="0" w:color="auto"/>
          </w:divBdr>
        </w:div>
        <w:div w:id="459230210">
          <w:marLeft w:val="480"/>
          <w:marRight w:val="0"/>
          <w:marTop w:val="0"/>
          <w:marBottom w:val="0"/>
          <w:divBdr>
            <w:top w:val="none" w:sz="0" w:space="0" w:color="auto"/>
            <w:left w:val="none" w:sz="0" w:space="0" w:color="auto"/>
            <w:bottom w:val="none" w:sz="0" w:space="0" w:color="auto"/>
            <w:right w:val="none" w:sz="0" w:space="0" w:color="auto"/>
          </w:divBdr>
        </w:div>
        <w:div w:id="296112758">
          <w:marLeft w:val="480"/>
          <w:marRight w:val="0"/>
          <w:marTop w:val="0"/>
          <w:marBottom w:val="0"/>
          <w:divBdr>
            <w:top w:val="none" w:sz="0" w:space="0" w:color="auto"/>
            <w:left w:val="none" w:sz="0" w:space="0" w:color="auto"/>
            <w:bottom w:val="none" w:sz="0" w:space="0" w:color="auto"/>
            <w:right w:val="none" w:sz="0" w:space="0" w:color="auto"/>
          </w:divBdr>
        </w:div>
        <w:div w:id="227423335">
          <w:marLeft w:val="480"/>
          <w:marRight w:val="0"/>
          <w:marTop w:val="0"/>
          <w:marBottom w:val="0"/>
          <w:divBdr>
            <w:top w:val="none" w:sz="0" w:space="0" w:color="auto"/>
            <w:left w:val="none" w:sz="0" w:space="0" w:color="auto"/>
            <w:bottom w:val="none" w:sz="0" w:space="0" w:color="auto"/>
            <w:right w:val="none" w:sz="0" w:space="0" w:color="auto"/>
          </w:divBdr>
        </w:div>
        <w:div w:id="1866139984">
          <w:marLeft w:val="480"/>
          <w:marRight w:val="0"/>
          <w:marTop w:val="0"/>
          <w:marBottom w:val="0"/>
          <w:divBdr>
            <w:top w:val="none" w:sz="0" w:space="0" w:color="auto"/>
            <w:left w:val="none" w:sz="0" w:space="0" w:color="auto"/>
            <w:bottom w:val="none" w:sz="0" w:space="0" w:color="auto"/>
            <w:right w:val="none" w:sz="0" w:space="0" w:color="auto"/>
          </w:divBdr>
        </w:div>
        <w:div w:id="1315792619">
          <w:marLeft w:val="480"/>
          <w:marRight w:val="0"/>
          <w:marTop w:val="0"/>
          <w:marBottom w:val="0"/>
          <w:divBdr>
            <w:top w:val="none" w:sz="0" w:space="0" w:color="auto"/>
            <w:left w:val="none" w:sz="0" w:space="0" w:color="auto"/>
            <w:bottom w:val="none" w:sz="0" w:space="0" w:color="auto"/>
            <w:right w:val="none" w:sz="0" w:space="0" w:color="auto"/>
          </w:divBdr>
        </w:div>
        <w:div w:id="1716352805">
          <w:marLeft w:val="480"/>
          <w:marRight w:val="0"/>
          <w:marTop w:val="0"/>
          <w:marBottom w:val="0"/>
          <w:divBdr>
            <w:top w:val="none" w:sz="0" w:space="0" w:color="auto"/>
            <w:left w:val="none" w:sz="0" w:space="0" w:color="auto"/>
            <w:bottom w:val="none" w:sz="0" w:space="0" w:color="auto"/>
            <w:right w:val="none" w:sz="0" w:space="0" w:color="auto"/>
          </w:divBdr>
        </w:div>
        <w:div w:id="83428921">
          <w:marLeft w:val="480"/>
          <w:marRight w:val="0"/>
          <w:marTop w:val="0"/>
          <w:marBottom w:val="0"/>
          <w:divBdr>
            <w:top w:val="none" w:sz="0" w:space="0" w:color="auto"/>
            <w:left w:val="none" w:sz="0" w:space="0" w:color="auto"/>
            <w:bottom w:val="none" w:sz="0" w:space="0" w:color="auto"/>
            <w:right w:val="none" w:sz="0" w:space="0" w:color="auto"/>
          </w:divBdr>
        </w:div>
        <w:div w:id="1022895664">
          <w:marLeft w:val="480"/>
          <w:marRight w:val="0"/>
          <w:marTop w:val="0"/>
          <w:marBottom w:val="0"/>
          <w:divBdr>
            <w:top w:val="none" w:sz="0" w:space="0" w:color="auto"/>
            <w:left w:val="none" w:sz="0" w:space="0" w:color="auto"/>
            <w:bottom w:val="none" w:sz="0" w:space="0" w:color="auto"/>
            <w:right w:val="none" w:sz="0" w:space="0" w:color="auto"/>
          </w:divBdr>
        </w:div>
        <w:div w:id="442963597">
          <w:marLeft w:val="480"/>
          <w:marRight w:val="0"/>
          <w:marTop w:val="0"/>
          <w:marBottom w:val="0"/>
          <w:divBdr>
            <w:top w:val="none" w:sz="0" w:space="0" w:color="auto"/>
            <w:left w:val="none" w:sz="0" w:space="0" w:color="auto"/>
            <w:bottom w:val="none" w:sz="0" w:space="0" w:color="auto"/>
            <w:right w:val="none" w:sz="0" w:space="0" w:color="auto"/>
          </w:divBdr>
        </w:div>
        <w:div w:id="1001005985">
          <w:marLeft w:val="480"/>
          <w:marRight w:val="0"/>
          <w:marTop w:val="0"/>
          <w:marBottom w:val="0"/>
          <w:divBdr>
            <w:top w:val="none" w:sz="0" w:space="0" w:color="auto"/>
            <w:left w:val="none" w:sz="0" w:space="0" w:color="auto"/>
            <w:bottom w:val="none" w:sz="0" w:space="0" w:color="auto"/>
            <w:right w:val="none" w:sz="0" w:space="0" w:color="auto"/>
          </w:divBdr>
        </w:div>
        <w:div w:id="1987195911">
          <w:marLeft w:val="480"/>
          <w:marRight w:val="0"/>
          <w:marTop w:val="0"/>
          <w:marBottom w:val="0"/>
          <w:divBdr>
            <w:top w:val="none" w:sz="0" w:space="0" w:color="auto"/>
            <w:left w:val="none" w:sz="0" w:space="0" w:color="auto"/>
            <w:bottom w:val="none" w:sz="0" w:space="0" w:color="auto"/>
            <w:right w:val="none" w:sz="0" w:space="0" w:color="auto"/>
          </w:divBdr>
        </w:div>
        <w:div w:id="228346828">
          <w:marLeft w:val="480"/>
          <w:marRight w:val="0"/>
          <w:marTop w:val="0"/>
          <w:marBottom w:val="0"/>
          <w:divBdr>
            <w:top w:val="none" w:sz="0" w:space="0" w:color="auto"/>
            <w:left w:val="none" w:sz="0" w:space="0" w:color="auto"/>
            <w:bottom w:val="none" w:sz="0" w:space="0" w:color="auto"/>
            <w:right w:val="none" w:sz="0" w:space="0" w:color="auto"/>
          </w:divBdr>
        </w:div>
        <w:div w:id="1628733159">
          <w:marLeft w:val="480"/>
          <w:marRight w:val="0"/>
          <w:marTop w:val="0"/>
          <w:marBottom w:val="0"/>
          <w:divBdr>
            <w:top w:val="none" w:sz="0" w:space="0" w:color="auto"/>
            <w:left w:val="none" w:sz="0" w:space="0" w:color="auto"/>
            <w:bottom w:val="none" w:sz="0" w:space="0" w:color="auto"/>
            <w:right w:val="none" w:sz="0" w:space="0" w:color="auto"/>
          </w:divBdr>
        </w:div>
        <w:div w:id="613710811">
          <w:marLeft w:val="480"/>
          <w:marRight w:val="0"/>
          <w:marTop w:val="0"/>
          <w:marBottom w:val="0"/>
          <w:divBdr>
            <w:top w:val="none" w:sz="0" w:space="0" w:color="auto"/>
            <w:left w:val="none" w:sz="0" w:space="0" w:color="auto"/>
            <w:bottom w:val="none" w:sz="0" w:space="0" w:color="auto"/>
            <w:right w:val="none" w:sz="0" w:space="0" w:color="auto"/>
          </w:divBdr>
        </w:div>
        <w:div w:id="838884336">
          <w:marLeft w:val="480"/>
          <w:marRight w:val="0"/>
          <w:marTop w:val="0"/>
          <w:marBottom w:val="0"/>
          <w:divBdr>
            <w:top w:val="none" w:sz="0" w:space="0" w:color="auto"/>
            <w:left w:val="none" w:sz="0" w:space="0" w:color="auto"/>
            <w:bottom w:val="none" w:sz="0" w:space="0" w:color="auto"/>
            <w:right w:val="none" w:sz="0" w:space="0" w:color="auto"/>
          </w:divBdr>
        </w:div>
        <w:div w:id="913508865">
          <w:marLeft w:val="480"/>
          <w:marRight w:val="0"/>
          <w:marTop w:val="0"/>
          <w:marBottom w:val="0"/>
          <w:divBdr>
            <w:top w:val="none" w:sz="0" w:space="0" w:color="auto"/>
            <w:left w:val="none" w:sz="0" w:space="0" w:color="auto"/>
            <w:bottom w:val="none" w:sz="0" w:space="0" w:color="auto"/>
            <w:right w:val="none" w:sz="0" w:space="0" w:color="auto"/>
          </w:divBdr>
        </w:div>
        <w:div w:id="1430153299">
          <w:marLeft w:val="480"/>
          <w:marRight w:val="0"/>
          <w:marTop w:val="0"/>
          <w:marBottom w:val="0"/>
          <w:divBdr>
            <w:top w:val="none" w:sz="0" w:space="0" w:color="auto"/>
            <w:left w:val="none" w:sz="0" w:space="0" w:color="auto"/>
            <w:bottom w:val="none" w:sz="0" w:space="0" w:color="auto"/>
            <w:right w:val="none" w:sz="0" w:space="0" w:color="auto"/>
          </w:divBdr>
        </w:div>
        <w:div w:id="1318921952">
          <w:marLeft w:val="480"/>
          <w:marRight w:val="0"/>
          <w:marTop w:val="0"/>
          <w:marBottom w:val="0"/>
          <w:divBdr>
            <w:top w:val="none" w:sz="0" w:space="0" w:color="auto"/>
            <w:left w:val="none" w:sz="0" w:space="0" w:color="auto"/>
            <w:bottom w:val="none" w:sz="0" w:space="0" w:color="auto"/>
            <w:right w:val="none" w:sz="0" w:space="0" w:color="auto"/>
          </w:divBdr>
        </w:div>
        <w:div w:id="20589666">
          <w:marLeft w:val="480"/>
          <w:marRight w:val="0"/>
          <w:marTop w:val="0"/>
          <w:marBottom w:val="0"/>
          <w:divBdr>
            <w:top w:val="none" w:sz="0" w:space="0" w:color="auto"/>
            <w:left w:val="none" w:sz="0" w:space="0" w:color="auto"/>
            <w:bottom w:val="none" w:sz="0" w:space="0" w:color="auto"/>
            <w:right w:val="none" w:sz="0" w:space="0" w:color="auto"/>
          </w:divBdr>
        </w:div>
        <w:div w:id="1110202252">
          <w:marLeft w:val="480"/>
          <w:marRight w:val="0"/>
          <w:marTop w:val="0"/>
          <w:marBottom w:val="0"/>
          <w:divBdr>
            <w:top w:val="none" w:sz="0" w:space="0" w:color="auto"/>
            <w:left w:val="none" w:sz="0" w:space="0" w:color="auto"/>
            <w:bottom w:val="none" w:sz="0" w:space="0" w:color="auto"/>
            <w:right w:val="none" w:sz="0" w:space="0" w:color="auto"/>
          </w:divBdr>
        </w:div>
        <w:div w:id="1198159078">
          <w:marLeft w:val="480"/>
          <w:marRight w:val="0"/>
          <w:marTop w:val="0"/>
          <w:marBottom w:val="0"/>
          <w:divBdr>
            <w:top w:val="none" w:sz="0" w:space="0" w:color="auto"/>
            <w:left w:val="none" w:sz="0" w:space="0" w:color="auto"/>
            <w:bottom w:val="none" w:sz="0" w:space="0" w:color="auto"/>
            <w:right w:val="none" w:sz="0" w:space="0" w:color="auto"/>
          </w:divBdr>
        </w:div>
        <w:div w:id="1259681306">
          <w:marLeft w:val="480"/>
          <w:marRight w:val="0"/>
          <w:marTop w:val="0"/>
          <w:marBottom w:val="0"/>
          <w:divBdr>
            <w:top w:val="none" w:sz="0" w:space="0" w:color="auto"/>
            <w:left w:val="none" w:sz="0" w:space="0" w:color="auto"/>
            <w:bottom w:val="none" w:sz="0" w:space="0" w:color="auto"/>
            <w:right w:val="none" w:sz="0" w:space="0" w:color="auto"/>
          </w:divBdr>
        </w:div>
        <w:div w:id="268705604">
          <w:marLeft w:val="480"/>
          <w:marRight w:val="0"/>
          <w:marTop w:val="0"/>
          <w:marBottom w:val="0"/>
          <w:divBdr>
            <w:top w:val="none" w:sz="0" w:space="0" w:color="auto"/>
            <w:left w:val="none" w:sz="0" w:space="0" w:color="auto"/>
            <w:bottom w:val="none" w:sz="0" w:space="0" w:color="auto"/>
            <w:right w:val="none" w:sz="0" w:space="0" w:color="auto"/>
          </w:divBdr>
        </w:div>
        <w:div w:id="1943494253">
          <w:marLeft w:val="480"/>
          <w:marRight w:val="0"/>
          <w:marTop w:val="0"/>
          <w:marBottom w:val="0"/>
          <w:divBdr>
            <w:top w:val="none" w:sz="0" w:space="0" w:color="auto"/>
            <w:left w:val="none" w:sz="0" w:space="0" w:color="auto"/>
            <w:bottom w:val="none" w:sz="0" w:space="0" w:color="auto"/>
            <w:right w:val="none" w:sz="0" w:space="0" w:color="auto"/>
          </w:divBdr>
        </w:div>
        <w:div w:id="395474880">
          <w:marLeft w:val="480"/>
          <w:marRight w:val="0"/>
          <w:marTop w:val="0"/>
          <w:marBottom w:val="0"/>
          <w:divBdr>
            <w:top w:val="none" w:sz="0" w:space="0" w:color="auto"/>
            <w:left w:val="none" w:sz="0" w:space="0" w:color="auto"/>
            <w:bottom w:val="none" w:sz="0" w:space="0" w:color="auto"/>
            <w:right w:val="none" w:sz="0" w:space="0" w:color="auto"/>
          </w:divBdr>
        </w:div>
        <w:div w:id="986740515">
          <w:marLeft w:val="480"/>
          <w:marRight w:val="0"/>
          <w:marTop w:val="0"/>
          <w:marBottom w:val="0"/>
          <w:divBdr>
            <w:top w:val="none" w:sz="0" w:space="0" w:color="auto"/>
            <w:left w:val="none" w:sz="0" w:space="0" w:color="auto"/>
            <w:bottom w:val="none" w:sz="0" w:space="0" w:color="auto"/>
            <w:right w:val="none" w:sz="0" w:space="0" w:color="auto"/>
          </w:divBdr>
        </w:div>
        <w:div w:id="549877284">
          <w:marLeft w:val="480"/>
          <w:marRight w:val="0"/>
          <w:marTop w:val="0"/>
          <w:marBottom w:val="0"/>
          <w:divBdr>
            <w:top w:val="none" w:sz="0" w:space="0" w:color="auto"/>
            <w:left w:val="none" w:sz="0" w:space="0" w:color="auto"/>
            <w:bottom w:val="none" w:sz="0" w:space="0" w:color="auto"/>
            <w:right w:val="none" w:sz="0" w:space="0" w:color="auto"/>
          </w:divBdr>
        </w:div>
        <w:div w:id="1641106158">
          <w:marLeft w:val="480"/>
          <w:marRight w:val="0"/>
          <w:marTop w:val="0"/>
          <w:marBottom w:val="0"/>
          <w:divBdr>
            <w:top w:val="none" w:sz="0" w:space="0" w:color="auto"/>
            <w:left w:val="none" w:sz="0" w:space="0" w:color="auto"/>
            <w:bottom w:val="none" w:sz="0" w:space="0" w:color="auto"/>
            <w:right w:val="none" w:sz="0" w:space="0" w:color="auto"/>
          </w:divBdr>
        </w:div>
        <w:div w:id="930742483">
          <w:marLeft w:val="480"/>
          <w:marRight w:val="0"/>
          <w:marTop w:val="0"/>
          <w:marBottom w:val="0"/>
          <w:divBdr>
            <w:top w:val="none" w:sz="0" w:space="0" w:color="auto"/>
            <w:left w:val="none" w:sz="0" w:space="0" w:color="auto"/>
            <w:bottom w:val="none" w:sz="0" w:space="0" w:color="auto"/>
            <w:right w:val="none" w:sz="0" w:space="0" w:color="auto"/>
          </w:divBdr>
        </w:div>
        <w:div w:id="353531776">
          <w:marLeft w:val="480"/>
          <w:marRight w:val="0"/>
          <w:marTop w:val="0"/>
          <w:marBottom w:val="0"/>
          <w:divBdr>
            <w:top w:val="none" w:sz="0" w:space="0" w:color="auto"/>
            <w:left w:val="none" w:sz="0" w:space="0" w:color="auto"/>
            <w:bottom w:val="none" w:sz="0" w:space="0" w:color="auto"/>
            <w:right w:val="none" w:sz="0" w:space="0" w:color="auto"/>
          </w:divBdr>
        </w:div>
        <w:div w:id="379479818">
          <w:marLeft w:val="480"/>
          <w:marRight w:val="0"/>
          <w:marTop w:val="0"/>
          <w:marBottom w:val="0"/>
          <w:divBdr>
            <w:top w:val="none" w:sz="0" w:space="0" w:color="auto"/>
            <w:left w:val="none" w:sz="0" w:space="0" w:color="auto"/>
            <w:bottom w:val="none" w:sz="0" w:space="0" w:color="auto"/>
            <w:right w:val="none" w:sz="0" w:space="0" w:color="auto"/>
          </w:divBdr>
        </w:div>
        <w:div w:id="324431779">
          <w:marLeft w:val="480"/>
          <w:marRight w:val="0"/>
          <w:marTop w:val="0"/>
          <w:marBottom w:val="0"/>
          <w:divBdr>
            <w:top w:val="none" w:sz="0" w:space="0" w:color="auto"/>
            <w:left w:val="none" w:sz="0" w:space="0" w:color="auto"/>
            <w:bottom w:val="none" w:sz="0" w:space="0" w:color="auto"/>
            <w:right w:val="none" w:sz="0" w:space="0" w:color="auto"/>
          </w:divBdr>
        </w:div>
        <w:div w:id="1961565611">
          <w:marLeft w:val="480"/>
          <w:marRight w:val="0"/>
          <w:marTop w:val="0"/>
          <w:marBottom w:val="0"/>
          <w:divBdr>
            <w:top w:val="none" w:sz="0" w:space="0" w:color="auto"/>
            <w:left w:val="none" w:sz="0" w:space="0" w:color="auto"/>
            <w:bottom w:val="none" w:sz="0" w:space="0" w:color="auto"/>
            <w:right w:val="none" w:sz="0" w:space="0" w:color="auto"/>
          </w:divBdr>
        </w:div>
        <w:div w:id="1054548892">
          <w:marLeft w:val="480"/>
          <w:marRight w:val="0"/>
          <w:marTop w:val="0"/>
          <w:marBottom w:val="0"/>
          <w:divBdr>
            <w:top w:val="none" w:sz="0" w:space="0" w:color="auto"/>
            <w:left w:val="none" w:sz="0" w:space="0" w:color="auto"/>
            <w:bottom w:val="none" w:sz="0" w:space="0" w:color="auto"/>
            <w:right w:val="none" w:sz="0" w:space="0" w:color="auto"/>
          </w:divBdr>
        </w:div>
        <w:div w:id="521407679">
          <w:marLeft w:val="480"/>
          <w:marRight w:val="0"/>
          <w:marTop w:val="0"/>
          <w:marBottom w:val="0"/>
          <w:divBdr>
            <w:top w:val="none" w:sz="0" w:space="0" w:color="auto"/>
            <w:left w:val="none" w:sz="0" w:space="0" w:color="auto"/>
            <w:bottom w:val="none" w:sz="0" w:space="0" w:color="auto"/>
            <w:right w:val="none" w:sz="0" w:space="0" w:color="auto"/>
          </w:divBdr>
        </w:div>
        <w:div w:id="2047289551">
          <w:marLeft w:val="480"/>
          <w:marRight w:val="0"/>
          <w:marTop w:val="0"/>
          <w:marBottom w:val="0"/>
          <w:divBdr>
            <w:top w:val="none" w:sz="0" w:space="0" w:color="auto"/>
            <w:left w:val="none" w:sz="0" w:space="0" w:color="auto"/>
            <w:bottom w:val="none" w:sz="0" w:space="0" w:color="auto"/>
            <w:right w:val="none" w:sz="0" w:space="0" w:color="auto"/>
          </w:divBdr>
        </w:div>
        <w:div w:id="773473454">
          <w:marLeft w:val="480"/>
          <w:marRight w:val="0"/>
          <w:marTop w:val="0"/>
          <w:marBottom w:val="0"/>
          <w:divBdr>
            <w:top w:val="none" w:sz="0" w:space="0" w:color="auto"/>
            <w:left w:val="none" w:sz="0" w:space="0" w:color="auto"/>
            <w:bottom w:val="none" w:sz="0" w:space="0" w:color="auto"/>
            <w:right w:val="none" w:sz="0" w:space="0" w:color="auto"/>
          </w:divBdr>
        </w:div>
        <w:div w:id="1927613431">
          <w:marLeft w:val="480"/>
          <w:marRight w:val="0"/>
          <w:marTop w:val="0"/>
          <w:marBottom w:val="0"/>
          <w:divBdr>
            <w:top w:val="none" w:sz="0" w:space="0" w:color="auto"/>
            <w:left w:val="none" w:sz="0" w:space="0" w:color="auto"/>
            <w:bottom w:val="none" w:sz="0" w:space="0" w:color="auto"/>
            <w:right w:val="none" w:sz="0" w:space="0" w:color="auto"/>
          </w:divBdr>
        </w:div>
        <w:div w:id="279385788">
          <w:marLeft w:val="480"/>
          <w:marRight w:val="0"/>
          <w:marTop w:val="0"/>
          <w:marBottom w:val="0"/>
          <w:divBdr>
            <w:top w:val="none" w:sz="0" w:space="0" w:color="auto"/>
            <w:left w:val="none" w:sz="0" w:space="0" w:color="auto"/>
            <w:bottom w:val="none" w:sz="0" w:space="0" w:color="auto"/>
            <w:right w:val="none" w:sz="0" w:space="0" w:color="auto"/>
          </w:divBdr>
        </w:div>
        <w:div w:id="853111224">
          <w:marLeft w:val="480"/>
          <w:marRight w:val="0"/>
          <w:marTop w:val="0"/>
          <w:marBottom w:val="0"/>
          <w:divBdr>
            <w:top w:val="none" w:sz="0" w:space="0" w:color="auto"/>
            <w:left w:val="none" w:sz="0" w:space="0" w:color="auto"/>
            <w:bottom w:val="none" w:sz="0" w:space="0" w:color="auto"/>
            <w:right w:val="none" w:sz="0" w:space="0" w:color="auto"/>
          </w:divBdr>
        </w:div>
        <w:div w:id="1235433573">
          <w:marLeft w:val="480"/>
          <w:marRight w:val="0"/>
          <w:marTop w:val="0"/>
          <w:marBottom w:val="0"/>
          <w:divBdr>
            <w:top w:val="none" w:sz="0" w:space="0" w:color="auto"/>
            <w:left w:val="none" w:sz="0" w:space="0" w:color="auto"/>
            <w:bottom w:val="none" w:sz="0" w:space="0" w:color="auto"/>
            <w:right w:val="none" w:sz="0" w:space="0" w:color="auto"/>
          </w:divBdr>
        </w:div>
        <w:div w:id="214437494">
          <w:marLeft w:val="480"/>
          <w:marRight w:val="0"/>
          <w:marTop w:val="0"/>
          <w:marBottom w:val="0"/>
          <w:divBdr>
            <w:top w:val="none" w:sz="0" w:space="0" w:color="auto"/>
            <w:left w:val="none" w:sz="0" w:space="0" w:color="auto"/>
            <w:bottom w:val="none" w:sz="0" w:space="0" w:color="auto"/>
            <w:right w:val="none" w:sz="0" w:space="0" w:color="auto"/>
          </w:divBdr>
        </w:div>
        <w:div w:id="1472407354">
          <w:marLeft w:val="480"/>
          <w:marRight w:val="0"/>
          <w:marTop w:val="0"/>
          <w:marBottom w:val="0"/>
          <w:divBdr>
            <w:top w:val="none" w:sz="0" w:space="0" w:color="auto"/>
            <w:left w:val="none" w:sz="0" w:space="0" w:color="auto"/>
            <w:bottom w:val="none" w:sz="0" w:space="0" w:color="auto"/>
            <w:right w:val="none" w:sz="0" w:space="0" w:color="auto"/>
          </w:divBdr>
        </w:div>
        <w:div w:id="1889996562">
          <w:marLeft w:val="480"/>
          <w:marRight w:val="0"/>
          <w:marTop w:val="0"/>
          <w:marBottom w:val="0"/>
          <w:divBdr>
            <w:top w:val="none" w:sz="0" w:space="0" w:color="auto"/>
            <w:left w:val="none" w:sz="0" w:space="0" w:color="auto"/>
            <w:bottom w:val="none" w:sz="0" w:space="0" w:color="auto"/>
            <w:right w:val="none" w:sz="0" w:space="0" w:color="auto"/>
          </w:divBdr>
        </w:div>
        <w:div w:id="907157383">
          <w:marLeft w:val="480"/>
          <w:marRight w:val="0"/>
          <w:marTop w:val="0"/>
          <w:marBottom w:val="0"/>
          <w:divBdr>
            <w:top w:val="none" w:sz="0" w:space="0" w:color="auto"/>
            <w:left w:val="none" w:sz="0" w:space="0" w:color="auto"/>
            <w:bottom w:val="none" w:sz="0" w:space="0" w:color="auto"/>
            <w:right w:val="none" w:sz="0" w:space="0" w:color="auto"/>
          </w:divBdr>
        </w:div>
        <w:div w:id="183903627">
          <w:marLeft w:val="480"/>
          <w:marRight w:val="0"/>
          <w:marTop w:val="0"/>
          <w:marBottom w:val="0"/>
          <w:divBdr>
            <w:top w:val="none" w:sz="0" w:space="0" w:color="auto"/>
            <w:left w:val="none" w:sz="0" w:space="0" w:color="auto"/>
            <w:bottom w:val="none" w:sz="0" w:space="0" w:color="auto"/>
            <w:right w:val="none" w:sz="0" w:space="0" w:color="auto"/>
          </w:divBdr>
        </w:div>
        <w:div w:id="1467504755">
          <w:marLeft w:val="480"/>
          <w:marRight w:val="0"/>
          <w:marTop w:val="0"/>
          <w:marBottom w:val="0"/>
          <w:divBdr>
            <w:top w:val="none" w:sz="0" w:space="0" w:color="auto"/>
            <w:left w:val="none" w:sz="0" w:space="0" w:color="auto"/>
            <w:bottom w:val="none" w:sz="0" w:space="0" w:color="auto"/>
            <w:right w:val="none" w:sz="0" w:space="0" w:color="auto"/>
          </w:divBdr>
        </w:div>
        <w:div w:id="1213155701">
          <w:marLeft w:val="480"/>
          <w:marRight w:val="0"/>
          <w:marTop w:val="0"/>
          <w:marBottom w:val="0"/>
          <w:divBdr>
            <w:top w:val="none" w:sz="0" w:space="0" w:color="auto"/>
            <w:left w:val="none" w:sz="0" w:space="0" w:color="auto"/>
            <w:bottom w:val="none" w:sz="0" w:space="0" w:color="auto"/>
            <w:right w:val="none" w:sz="0" w:space="0" w:color="auto"/>
          </w:divBdr>
        </w:div>
        <w:div w:id="456875649">
          <w:marLeft w:val="480"/>
          <w:marRight w:val="0"/>
          <w:marTop w:val="0"/>
          <w:marBottom w:val="0"/>
          <w:divBdr>
            <w:top w:val="none" w:sz="0" w:space="0" w:color="auto"/>
            <w:left w:val="none" w:sz="0" w:space="0" w:color="auto"/>
            <w:bottom w:val="none" w:sz="0" w:space="0" w:color="auto"/>
            <w:right w:val="none" w:sz="0" w:space="0" w:color="auto"/>
          </w:divBdr>
        </w:div>
        <w:div w:id="320886047">
          <w:marLeft w:val="480"/>
          <w:marRight w:val="0"/>
          <w:marTop w:val="0"/>
          <w:marBottom w:val="0"/>
          <w:divBdr>
            <w:top w:val="none" w:sz="0" w:space="0" w:color="auto"/>
            <w:left w:val="none" w:sz="0" w:space="0" w:color="auto"/>
            <w:bottom w:val="none" w:sz="0" w:space="0" w:color="auto"/>
            <w:right w:val="none" w:sz="0" w:space="0" w:color="auto"/>
          </w:divBdr>
        </w:div>
        <w:div w:id="969752014">
          <w:marLeft w:val="480"/>
          <w:marRight w:val="0"/>
          <w:marTop w:val="0"/>
          <w:marBottom w:val="0"/>
          <w:divBdr>
            <w:top w:val="none" w:sz="0" w:space="0" w:color="auto"/>
            <w:left w:val="none" w:sz="0" w:space="0" w:color="auto"/>
            <w:bottom w:val="none" w:sz="0" w:space="0" w:color="auto"/>
            <w:right w:val="none" w:sz="0" w:space="0" w:color="auto"/>
          </w:divBdr>
        </w:div>
        <w:div w:id="392897154">
          <w:marLeft w:val="480"/>
          <w:marRight w:val="0"/>
          <w:marTop w:val="0"/>
          <w:marBottom w:val="0"/>
          <w:divBdr>
            <w:top w:val="none" w:sz="0" w:space="0" w:color="auto"/>
            <w:left w:val="none" w:sz="0" w:space="0" w:color="auto"/>
            <w:bottom w:val="none" w:sz="0" w:space="0" w:color="auto"/>
            <w:right w:val="none" w:sz="0" w:space="0" w:color="auto"/>
          </w:divBdr>
        </w:div>
        <w:div w:id="1905532221">
          <w:marLeft w:val="480"/>
          <w:marRight w:val="0"/>
          <w:marTop w:val="0"/>
          <w:marBottom w:val="0"/>
          <w:divBdr>
            <w:top w:val="none" w:sz="0" w:space="0" w:color="auto"/>
            <w:left w:val="none" w:sz="0" w:space="0" w:color="auto"/>
            <w:bottom w:val="none" w:sz="0" w:space="0" w:color="auto"/>
            <w:right w:val="none" w:sz="0" w:space="0" w:color="auto"/>
          </w:divBdr>
        </w:div>
        <w:div w:id="1142691646">
          <w:marLeft w:val="480"/>
          <w:marRight w:val="0"/>
          <w:marTop w:val="0"/>
          <w:marBottom w:val="0"/>
          <w:divBdr>
            <w:top w:val="none" w:sz="0" w:space="0" w:color="auto"/>
            <w:left w:val="none" w:sz="0" w:space="0" w:color="auto"/>
            <w:bottom w:val="none" w:sz="0" w:space="0" w:color="auto"/>
            <w:right w:val="none" w:sz="0" w:space="0" w:color="auto"/>
          </w:divBdr>
        </w:div>
        <w:div w:id="1030107484">
          <w:marLeft w:val="480"/>
          <w:marRight w:val="0"/>
          <w:marTop w:val="0"/>
          <w:marBottom w:val="0"/>
          <w:divBdr>
            <w:top w:val="none" w:sz="0" w:space="0" w:color="auto"/>
            <w:left w:val="none" w:sz="0" w:space="0" w:color="auto"/>
            <w:bottom w:val="none" w:sz="0" w:space="0" w:color="auto"/>
            <w:right w:val="none" w:sz="0" w:space="0" w:color="auto"/>
          </w:divBdr>
        </w:div>
        <w:div w:id="808091621">
          <w:marLeft w:val="480"/>
          <w:marRight w:val="0"/>
          <w:marTop w:val="0"/>
          <w:marBottom w:val="0"/>
          <w:divBdr>
            <w:top w:val="none" w:sz="0" w:space="0" w:color="auto"/>
            <w:left w:val="none" w:sz="0" w:space="0" w:color="auto"/>
            <w:bottom w:val="none" w:sz="0" w:space="0" w:color="auto"/>
            <w:right w:val="none" w:sz="0" w:space="0" w:color="auto"/>
          </w:divBdr>
        </w:div>
        <w:div w:id="545457041">
          <w:marLeft w:val="480"/>
          <w:marRight w:val="0"/>
          <w:marTop w:val="0"/>
          <w:marBottom w:val="0"/>
          <w:divBdr>
            <w:top w:val="none" w:sz="0" w:space="0" w:color="auto"/>
            <w:left w:val="none" w:sz="0" w:space="0" w:color="auto"/>
            <w:bottom w:val="none" w:sz="0" w:space="0" w:color="auto"/>
            <w:right w:val="none" w:sz="0" w:space="0" w:color="auto"/>
          </w:divBdr>
        </w:div>
        <w:div w:id="1493712390">
          <w:marLeft w:val="480"/>
          <w:marRight w:val="0"/>
          <w:marTop w:val="0"/>
          <w:marBottom w:val="0"/>
          <w:divBdr>
            <w:top w:val="none" w:sz="0" w:space="0" w:color="auto"/>
            <w:left w:val="none" w:sz="0" w:space="0" w:color="auto"/>
            <w:bottom w:val="none" w:sz="0" w:space="0" w:color="auto"/>
            <w:right w:val="none" w:sz="0" w:space="0" w:color="auto"/>
          </w:divBdr>
        </w:div>
        <w:div w:id="274824964">
          <w:marLeft w:val="480"/>
          <w:marRight w:val="0"/>
          <w:marTop w:val="0"/>
          <w:marBottom w:val="0"/>
          <w:divBdr>
            <w:top w:val="none" w:sz="0" w:space="0" w:color="auto"/>
            <w:left w:val="none" w:sz="0" w:space="0" w:color="auto"/>
            <w:bottom w:val="none" w:sz="0" w:space="0" w:color="auto"/>
            <w:right w:val="none" w:sz="0" w:space="0" w:color="auto"/>
          </w:divBdr>
        </w:div>
        <w:div w:id="2094934278">
          <w:marLeft w:val="480"/>
          <w:marRight w:val="0"/>
          <w:marTop w:val="0"/>
          <w:marBottom w:val="0"/>
          <w:divBdr>
            <w:top w:val="none" w:sz="0" w:space="0" w:color="auto"/>
            <w:left w:val="none" w:sz="0" w:space="0" w:color="auto"/>
            <w:bottom w:val="none" w:sz="0" w:space="0" w:color="auto"/>
            <w:right w:val="none" w:sz="0" w:space="0" w:color="auto"/>
          </w:divBdr>
        </w:div>
        <w:div w:id="1447190720">
          <w:marLeft w:val="480"/>
          <w:marRight w:val="0"/>
          <w:marTop w:val="0"/>
          <w:marBottom w:val="0"/>
          <w:divBdr>
            <w:top w:val="none" w:sz="0" w:space="0" w:color="auto"/>
            <w:left w:val="none" w:sz="0" w:space="0" w:color="auto"/>
            <w:bottom w:val="none" w:sz="0" w:space="0" w:color="auto"/>
            <w:right w:val="none" w:sz="0" w:space="0" w:color="auto"/>
          </w:divBdr>
        </w:div>
        <w:div w:id="1151797509">
          <w:marLeft w:val="480"/>
          <w:marRight w:val="0"/>
          <w:marTop w:val="0"/>
          <w:marBottom w:val="0"/>
          <w:divBdr>
            <w:top w:val="none" w:sz="0" w:space="0" w:color="auto"/>
            <w:left w:val="none" w:sz="0" w:space="0" w:color="auto"/>
            <w:bottom w:val="none" w:sz="0" w:space="0" w:color="auto"/>
            <w:right w:val="none" w:sz="0" w:space="0" w:color="auto"/>
          </w:divBdr>
        </w:div>
        <w:div w:id="356659714">
          <w:marLeft w:val="480"/>
          <w:marRight w:val="0"/>
          <w:marTop w:val="0"/>
          <w:marBottom w:val="0"/>
          <w:divBdr>
            <w:top w:val="none" w:sz="0" w:space="0" w:color="auto"/>
            <w:left w:val="none" w:sz="0" w:space="0" w:color="auto"/>
            <w:bottom w:val="none" w:sz="0" w:space="0" w:color="auto"/>
            <w:right w:val="none" w:sz="0" w:space="0" w:color="auto"/>
          </w:divBdr>
        </w:div>
        <w:div w:id="45490503">
          <w:marLeft w:val="480"/>
          <w:marRight w:val="0"/>
          <w:marTop w:val="0"/>
          <w:marBottom w:val="0"/>
          <w:divBdr>
            <w:top w:val="none" w:sz="0" w:space="0" w:color="auto"/>
            <w:left w:val="none" w:sz="0" w:space="0" w:color="auto"/>
            <w:bottom w:val="none" w:sz="0" w:space="0" w:color="auto"/>
            <w:right w:val="none" w:sz="0" w:space="0" w:color="auto"/>
          </w:divBdr>
        </w:div>
        <w:div w:id="1166093050">
          <w:marLeft w:val="480"/>
          <w:marRight w:val="0"/>
          <w:marTop w:val="0"/>
          <w:marBottom w:val="0"/>
          <w:divBdr>
            <w:top w:val="none" w:sz="0" w:space="0" w:color="auto"/>
            <w:left w:val="none" w:sz="0" w:space="0" w:color="auto"/>
            <w:bottom w:val="none" w:sz="0" w:space="0" w:color="auto"/>
            <w:right w:val="none" w:sz="0" w:space="0" w:color="auto"/>
          </w:divBdr>
        </w:div>
        <w:div w:id="1358117579">
          <w:marLeft w:val="480"/>
          <w:marRight w:val="0"/>
          <w:marTop w:val="0"/>
          <w:marBottom w:val="0"/>
          <w:divBdr>
            <w:top w:val="none" w:sz="0" w:space="0" w:color="auto"/>
            <w:left w:val="none" w:sz="0" w:space="0" w:color="auto"/>
            <w:bottom w:val="none" w:sz="0" w:space="0" w:color="auto"/>
            <w:right w:val="none" w:sz="0" w:space="0" w:color="auto"/>
          </w:divBdr>
        </w:div>
        <w:div w:id="639187727">
          <w:marLeft w:val="480"/>
          <w:marRight w:val="0"/>
          <w:marTop w:val="0"/>
          <w:marBottom w:val="0"/>
          <w:divBdr>
            <w:top w:val="none" w:sz="0" w:space="0" w:color="auto"/>
            <w:left w:val="none" w:sz="0" w:space="0" w:color="auto"/>
            <w:bottom w:val="none" w:sz="0" w:space="0" w:color="auto"/>
            <w:right w:val="none" w:sz="0" w:space="0" w:color="auto"/>
          </w:divBdr>
        </w:div>
        <w:div w:id="1150974819">
          <w:marLeft w:val="480"/>
          <w:marRight w:val="0"/>
          <w:marTop w:val="0"/>
          <w:marBottom w:val="0"/>
          <w:divBdr>
            <w:top w:val="none" w:sz="0" w:space="0" w:color="auto"/>
            <w:left w:val="none" w:sz="0" w:space="0" w:color="auto"/>
            <w:bottom w:val="none" w:sz="0" w:space="0" w:color="auto"/>
            <w:right w:val="none" w:sz="0" w:space="0" w:color="auto"/>
          </w:divBdr>
        </w:div>
        <w:div w:id="1044600580">
          <w:marLeft w:val="480"/>
          <w:marRight w:val="0"/>
          <w:marTop w:val="0"/>
          <w:marBottom w:val="0"/>
          <w:divBdr>
            <w:top w:val="none" w:sz="0" w:space="0" w:color="auto"/>
            <w:left w:val="none" w:sz="0" w:space="0" w:color="auto"/>
            <w:bottom w:val="none" w:sz="0" w:space="0" w:color="auto"/>
            <w:right w:val="none" w:sz="0" w:space="0" w:color="auto"/>
          </w:divBdr>
        </w:div>
        <w:div w:id="1265578322">
          <w:marLeft w:val="480"/>
          <w:marRight w:val="0"/>
          <w:marTop w:val="0"/>
          <w:marBottom w:val="0"/>
          <w:divBdr>
            <w:top w:val="none" w:sz="0" w:space="0" w:color="auto"/>
            <w:left w:val="none" w:sz="0" w:space="0" w:color="auto"/>
            <w:bottom w:val="none" w:sz="0" w:space="0" w:color="auto"/>
            <w:right w:val="none" w:sz="0" w:space="0" w:color="auto"/>
          </w:divBdr>
        </w:div>
      </w:divsChild>
    </w:div>
    <w:div w:id="741021203">
      <w:bodyDiv w:val="1"/>
      <w:marLeft w:val="0"/>
      <w:marRight w:val="0"/>
      <w:marTop w:val="0"/>
      <w:marBottom w:val="0"/>
      <w:divBdr>
        <w:top w:val="none" w:sz="0" w:space="0" w:color="auto"/>
        <w:left w:val="none" w:sz="0" w:space="0" w:color="auto"/>
        <w:bottom w:val="none" w:sz="0" w:space="0" w:color="auto"/>
        <w:right w:val="none" w:sz="0" w:space="0" w:color="auto"/>
      </w:divBdr>
    </w:div>
    <w:div w:id="802389634">
      <w:bodyDiv w:val="1"/>
      <w:marLeft w:val="0"/>
      <w:marRight w:val="0"/>
      <w:marTop w:val="0"/>
      <w:marBottom w:val="0"/>
      <w:divBdr>
        <w:top w:val="none" w:sz="0" w:space="0" w:color="auto"/>
        <w:left w:val="none" w:sz="0" w:space="0" w:color="auto"/>
        <w:bottom w:val="none" w:sz="0" w:space="0" w:color="auto"/>
        <w:right w:val="none" w:sz="0" w:space="0" w:color="auto"/>
      </w:divBdr>
      <w:divsChild>
        <w:div w:id="1082220982">
          <w:marLeft w:val="480"/>
          <w:marRight w:val="0"/>
          <w:marTop w:val="0"/>
          <w:marBottom w:val="0"/>
          <w:divBdr>
            <w:top w:val="none" w:sz="0" w:space="0" w:color="auto"/>
            <w:left w:val="none" w:sz="0" w:space="0" w:color="auto"/>
            <w:bottom w:val="none" w:sz="0" w:space="0" w:color="auto"/>
            <w:right w:val="none" w:sz="0" w:space="0" w:color="auto"/>
          </w:divBdr>
        </w:div>
        <w:div w:id="892351094">
          <w:marLeft w:val="480"/>
          <w:marRight w:val="0"/>
          <w:marTop w:val="0"/>
          <w:marBottom w:val="0"/>
          <w:divBdr>
            <w:top w:val="none" w:sz="0" w:space="0" w:color="auto"/>
            <w:left w:val="none" w:sz="0" w:space="0" w:color="auto"/>
            <w:bottom w:val="none" w:sz="0" w:space="0" w:color="auto"/>
            <w:right w:val="none" w:sz="0" w:space="0" w:color="auto"/>
          </w:divBdr>
        </w:div>
        <w:div w:id="2047027638">
          <w:marLeft w:val="480"/>
          <w:marRight w:val="0"/>
          <w:marTop w:val="0"/>
          <w:marBottom w:val="0"/>
          <w:divBdr>
            <w:top w:val="none" w:sz="0" w:space="0" w:color="auto"/>
            <w:left w:val="none" w:sz="0" w:space="0" w:color="auto"/>
            <w:bottom w:val="none" w:sz="0" w:space="0" w:color="auto"/>
            <w:right w:val="none" w:sz="0" w:space="0" w:color="auto"/>
          </w:divBdr>
        </w:div>
        <w:div w:id="1177307883">
          <w:marLeft w:val="480"/>
          <w:marRight w:val="0"/>
          <w:marTop w:val="0"/>
          <w:marBottom w:val="0"/>
          <w:divBdr>
            <w:top w:val="none" w:sz="0" w:space="0" w:color="auto"/>
            <w:left w:val="none" w:sz="0" w:space="0" w:color="auto"/>
            <w:bottom w:val="none" w:sz="0" w:space="0" w:color="auto"/>
            <w:right w:val="none" w:sz="0" w:space="0" w:color="auto"/>
          </w:divBdr>
        </w:div>
        <w:div w:id="881095079">
          <w:marLeft w:val="480"/>
          <w:marRight w:val="0"/>
          <w:marTop w:val="0"/>
          <w:marBottom w:val="0"/>
          <w:divBdr>
            <w:top w:val="none" w:sz="0" w:space="0" w:color="auto"/>
            <w:left w:val="none" w:sz="0" w:space="0" w:color="auto"/>
            <w:bottom w:val="none" w:sz="0" w:space="0" w:color="auto"/>
            <w:right w:val="none" w:sz="0" w:space="0" w:color="auto"/>
          </w:divBdr>
        </w:div>
        <w:div w:id="796796005">
          <w:marLeft w:val="480"/>
          <w:marRight w:val="0"/>
          <w:marTop w:val="0"/>
          <w:marBottom w:val="0"/>
          <w:divBdr>
            <w:top w:val="none" w:sz="0" w:space="0" w:color="auto"/>
            <w:left w:val="none" w:sz="0" w:space="0" w:color="auto"/>
            <w:bottom w:val="none" w:sz="0" w:space="0" w:color="auto"/>
            <w:right w:val="none" w:sz="0" w:space="0" w:color="auto"/>
          </w:divBdr>
        </w:div>
        <w:div w:id="1011444287">
          <w:marLeft w:val="480"/>
          <w:marRight w:val="0"/>
          <w:marTop w:val="0"/>
          <w:marBottom w:val="0"/>
          <w:divBdr>
            <w:top w:val="none" w:sz="0" w:space="0" w:color="auto"/>
            <w:left w:val="none" w:sz="0" w:space="0" w:color="auto"/>
            <w:bottom w:val="none" w:sz="0" w:space="0" w:color="auto"/>
            <w:right w:val="none" w:sz="0" w:space="0" w:color="auto"/>
          </w:divBdr>
        </w:div>
        <w:div w:id="420375259">
          <w:marLeft w:val="480"/>
          <w:marRight w:val="0"/>
          <w:marTop w:val="0"/>
          <w:marBottom w:val="0"/>
          <w:divBdr>
            <w:top w:val="none" w:sz="0" w:space="0" w:color="auto"/>
            <w:left w:val="none" w:sz="0" w:space="0" w:color="auto"/>
            <w:bottom w:val="none" w:sz="0" w:space="0" w:color="auto"/>
            <w:right w:val="none" w:sz="0" w:space="0" w:color="auto"/>
          </w:divBdr>
        </w:div>
        <w:div w:id="2041053967">
          <w:marLeft w:val="480"/>
          <w:marRight w:val="0"/>
          <w:marTop w:val="0"/>
          <w:marBottom w:val="0"/>
          <w:divBdr>
            <w:top w:val="none" w:sz="0" w:space="0" w:color="auto"/>
            <w:left w:val="none" w:sz="0" w:space="0" w:color="auto"/>
            <w:bottom w:val="none" w:sz="0" w:space="0" w:color="auto"/>
            <w:right w:val="none" w:sz="0" w:space="0" w:color="auto"/>
          </w:divBdr>
        </w:div>
        <w:div w:id="1566600898">
          <w:marLeft w:val="480"/>
          <w:marRight w:val="0"/>
          <w:marTop w:val="0"/>
          <w:marBottom w:val="0"/>
          <w:divBdr>
            <w:top w:val="none" w:sz="0" w:space="0" w:color="auto"/>
            <w:left w:val="none" w:sz="0" w:space="0" w:color="auto"/>
            <w:bottom w:val="none" w:sz="0" w:space="0" w:color="auto"/>
            <w:right w:val="none" w:sz="0" w:space="0" w:color="auto"/>
          </w:divBdr>
        </w:div>
        <w:div w:id="1013455103">
          <w:marLeft w:val="480"/>
          <w:marRight w:val="0"/>
          <w:marTop w:val="0"/>
          <w:marBottom w:val="0"/>
          <w:divBdr>
            <w:top w:val="none" w:sz="0" w:space="0" w:color="auto"/>
            <w:left w:val="none" w:sz="0" w:space="0" w:color="auto"/>
            <w:bottom w:val="none" w:sz="0" w:space="0" w:color="auto"/>
            <w:right w:val="none" w:sz="0" w:space="0" w:color="auto"/>
          </w:divBdr>
        </w:div>
        <w:div w:id="1895890988">
          <w:marLeft w:val="480"/>
          <w:marRight w:val="0"/>
          <w:marTop w:val="0"/>
          <w:marBottom w:val="0"/>
          <w:divBdr>
            <w:top w:val="none" w:sz="0" w:space="0" w:color="auto"/>
            <w:left w:val="none" w:sz="0" w:space="0" w:color="auto"/>
            <w:bottom w:val="none" w:sz="0" w:space="0" w:color="auto"/>
            <w:right w:val="none" w:sz="0" w:space="0" w:color="auto"/>
          </w:divBdr>
        </w:div>
        <w:div w:id="575432586">
          <w:marLeft w:val="480"/>
          <w:marRight w:val="0"/>
          <w:marTop w:val="0"/>
          <w:marBottom w:val="0"/>
          <w:divBdr>
            <w:top w:val="none" w:sz="0" w:space="0" w:color="auto"/>
            <w:left w:val="none" w:sz="0" w:space="0" w:color="auto"/>
            <w:bottom w:val="none" w:sz="0" w:space="0" w:color="auto"/>
            <w:right w:val="none" w:sz="0" w:space="0" w:color="auto"/>
          </w:divBdr>
        </w:div>
        <w:div w:id="929122528">
          <w:marLeft w:val="480"/>
          <w:marRight w:val="0"/>
          <w:marTop w:val="0"/>
          <w:marBottom w:val="0"/>
          <w:divBdr>
            <w:top w:val="none" w:sz="0" w:space="0" w:color="auto"/>
            <w:left w:val="none" w:sz="0" w:space="0" w:color="auto"/>
            <w:bottom w:val="none" w:sz="0" w:space="0" w:color="auto"/>
            <w:right w:val="none" w:sz="0" w:space="0" w:color="auto"/>
          </w:divBdr>
        </w:div>
        <w:div w:id="1337658787">
          <w:marLeft w:val="480"/>
          <w:marRight w:val="0"/>
          <w:marTop w:val="0"/>
          <w:marBottom w:val="0"/>
          <w:divBdr>
            <w:top w:val="none" w:sz="0" w:space="0" w:color="auto"/>
            <w:left w:val="none" w:sz="0" w:space="0" w:color="auto"/>
            <w:bottom w:val="none" w:sz="0" w:space="0" w:color="auto"/>
            <w:right w:val="none" w:sz="0" w:space="0" w:color="auto"/>
          </w:divBdr>
        </w:div>
        <w:div w:id="718748861">
          <w:marLeft w:val="480"/>
          <w:marRight w:val="0"/>
          <w:marTop w:val="0"/>
          <w:marBottom w:val="0"/>
          <w:divBdr>
            <w:top w:val="none" w:sz="0" w:space="0" w:color="auto"/>
            <w:left w:val="none" w:sz="0" w:space="0" w:color="auto"/>
            <w:bottom w:val="none" w:sz="0" w:space="0" w:color="auto"/>
            <w:right w:val="none" w:sz="0" w:space="0" w:color="auto"/>
          </w:divBdr>
        </w:div>
        <w:div w:id="1142693467">
          <w:marLeft w:val="480"/>
          <w:marRight w:val="0"/>
          <w:marTop w:val="0"/>
          <w:marBottom w:val="0"/>
          <w:divBdr>
            <w:top w:val="none" w:sz="0" w:space="0" w:color="auto"/>
            <w:left w:val="none" w:sz="0" w:space="0" w:color="auto"/>
            <w:bottom w:val="none" w:sz="0" w:space="0" w:color="auto"/>
            <w:right w:val="none" w:sz="0" w:space="0" w:color="auto"/>
          </w:divBdr>
        </w:div>
        <w:div w:id="575288832">
          <w:marLeft w:val="480"/>
          <w:marRight w:val="0"/>
          <w:marTop w:val="0"/>
          <w:marBottom w:val="0"/>
          <w:divBdr>
            <w:top w:val="none" w:sz="0" w:space="0" w:color="auto"/>
            <w:left w:val="none" w:sz="0" w:space="0" w:color="auto"/>
            <w:bottom w:val="none" w:sz="0" w:space="0" w:color="auto"/>
            <w:right w:val="none" w:sz="0" w:space="0" w:color="auto"/>
          </w:divBdr>
        </w:div>
        <w:div w:id="979071999">
          <w:marLeft w:val="480"/>
          <w:marRight w:val="0"/>
          <w:marTop w:val="0"/>
          <w:marBottom w:val="0"/>
          <w:divBdr>
            <w:top w:val="none" w:sz="0" w:space="0" w:color="auto"/>
            <w:left w:val="none" w:sz="0" w:space="0" w:color="auto"/>
            <w:bottom w:val="none" w:sz="0" w:space="0" w:color="auto"/>
            <w:right w:val="none" w:sz="0" w:space="0" w:color="auto"/>
          </w:divBdr>
        </w:div>
        <w:div w:id="585265722">
          <w:marLeft w:val="480"/>
          <w:marRight w:val="0"/>
          <w:marTop w:val="0"/>
          <w:marBottom w:val="0"/>
          <w:divBdr>
            <w:top w:val="none" w:sz="0" w:space="0" w:color="auto"/>
            <w:left w:val="none" w:sz="0" w:space="0" w:color="auto"/>
            <w:bottom w:val="none" w:sz="0" w:space="0" w:color="auto"/>
            <w:right w:val="none" w:sz="0" w:space="0" w:color="auto"/>
          </w:divBdr>
        </w:div>
        <w:div w:id="1466117018">
          <w:marLeft w:val="480"/>
          <w:marRight w:val="0"/>
          <w:marTop w:val="0"/>
          <w:marBottom w:val="0"/>
          <w:divBdr>
            <w:top w:val="none" w:sz="0" w:space="0" w:color="auto"/>
            <w:left w:val="none" w:sz="0" w:space="0" w:color="auto"/>
            <w:bottom w:val="none" w:sz="0" w:space="0" w:color="auto"/>
            <w:right w:val="none" w:sz="0" w:space="0" w:color="auto"/>
          </w:divBdr>
        </w:div>
        <w:div w:id="1463769279">
          <w:marLeft w:val="480"/>
          <w:marRight w:val="0"/>
          <w:marTop w:val="0"/>
          <w:marBottom w:val="0"/>
          <w:divBdr>
            <w:top w:val="none" w:sz="0" w:space="0" w:color="auto"/>
            <w:left w:val="none" w:sz="0" w:space="0" w:color="auto"/>
            <w:bottom w:val="none" w:sz="0" w:space="0" w:color="auto"/>
            <w:right w:val="none" w:sz="0" w:space="0" w:color="auto"/>
          </w:divBdr>
        </w:div>
        <w:div w:id="1064988914">
          <w:marLeft w:val="480"/>
          <w:marRight w:val="0"/>
          <w:marTop w:val="0"/>
          <w:marBottom w:val="0"/>
          <w:divBdr>
            <w:top w:val="none" w:sz="0" w:space="0" w:color="auto"/>
            <w:left w:val="none" w:sz="0" w:space="0" w:color="auto"/>
            <w:bottom w:val="none" w:sz="0" w:space="0" w:color="auto"/>
            <w:right w:val="none" w:sz="0" w:space="0" w:color="auto"/>
          </w:divBdr>
        </w:div>
        <w:div w:id="379789056">
          <w:marLeft w:val="480"/>
          <w:marRight w:val="0"/>
          <w:marTop w:val="0"/>
          <w:marBottom w:val="0"/>
          <w:divBdr>
            <w:top w:val="none" w:sz="0" w:space="0" w:color="auto"/>
            <w:left w:val="none" w:sz="0" w:space="0" w:color="auto"/>
            <w:bottom w:val="none" w:sz="0" w:space="0" w:color="auto"/>
            <w:right w:val="none" w:sz="0" w:space="0" w:color="auto"/>
          </w:divBdr>
        </w:div>
        <w:div w:id="1108625620">
          <w:marLeft w:val="480"/>
          <w:marRight w:val="0"/>
          <w:marTop w:val="0"/>
          <w:marBottom w:val="0"/>
          <w:divBdr>
            <w:top w:val="none" w:sz="0" w:space="0" w:color="auto"/>
            <w:left w:val="none" w:sz="0" w:space="0" w:color="auto"/>
            <w:bottom w:val="none" w:sz="0" w:space="0" w:color="auto"/>
            <w:right w:val="none" w:sz="0" w:space="0" w:color="auto"/>
          </w:divBdr>
        </w:div>
        <w:div w:id="281888414">
          <w:marLeft w:val="480"/>
          <w:marRight w:val="0"/>
          <w:marTop w:val="0"/>
          <w:marBottom w:val="0"/>
          <w:divBdr>
            <w:top w:val="none" w:sz="0" w:space="0" w:color="auto"/>
            <w:left w:val="none" w:sz="0" w:space="0" w:color="auto"/>
            <w:bottom w:val="none" w:sz="0" w:space="0" w:color="auto"/>
            <w:right w:val="none" w:sz="0" w:space="0" w:color="auto"/>
          </w:divBdr>
        </w:div>
        <w:div w:id="645401246">
          <w:marLeft w:val="480"/>
          <w:marRight w:val="0"/>
          <w:marTop w:val="0"/>
          <w:marBottom w:val="0"/>
          <w:divBdr>
            <w:top w:val="none" w:sz="0" w:space="0" w:color="auto"/>
            <w:left w:val="none" w:sz="0" w:space="0" w:color="auto"/>
            <w:bottom w:val="none" w:sz="0" w:space="0" w:color="auto"/>
            <w:right w:val="none" w:sz="0" w:space="0" w:color="auto"/>
          </w:divBdr>
        </w:div>
        <w:div w:id="1513186770">
          <w:marLeft w:val="480"/>
          <w:marRight w:val="0"/>
          <w:marTop w:val="0"/>
          <w:marBottom w:val="0"/>
          <w:divBdr>
            <w:top w:val="none" w:sz="0" w:space="0" w:color="auto"/>
            <w:left w:val="none" w:sz="0" w:space="0" w:color="auto"/>
            <w:bottom w:val="none" w:sz="0" w:space="0" w:color="auto"/>
            <w:right w:val="none" w:sz="0" w:space="0" w:color="auto"/>
          </w:divBdr>
        </w:div>
        <w:div w:id="1569535038">
          <w:marLeft w:val="480"/>
          <w:marRight w:val="0"/>
          <w:marTop w:val="0"/>
          <w:marBottom w:val="0"/>
          <w:divBdr>
            <w:top w:val="none" w:sz="0" w:space="0" w:color="auto"/>
            <w:left w:val="none" w:sz="0" w:space="0" w:color="auto"/>
            <w:bottom w:val="none" w:sz="0" w:space="0" w:color="auto"/>
            <w:right w:val="none" w:sz="0" w:space="0" w:color="auto"/>
          </w:divBdr>
        </w:div>
        <w:div w:id="1267082424">
          <w:marLeft w:val="480"/>
          <w:marRight w:val="0"/>
          <w:marTop w:val="0"/>
          <w:marBottom w:val="0"/>
          <w:divBdr>
            <w:top w:val="none" w:sz="0" w:space="0" w:color="auto"/>
            <w:left w:val="none" w:sz="0" w:space="0" w:color="auto"/>
            <w:bottom w:val="none" w:sz="0" w:space="0" w:color="auto"/>
            <w:right w:val="none" w:sz="0" w:space="0" w:color="auto"/>
          </w:divBdr>
        </w:div>
        <w:div w:id="968588364">
          <w:marLeft w:val="480"/>
          <w:marRight w:val="0"/>
          <w:marTop w:val="0"/>
          <w:marBottom w:val="0"/>
          <w:divBdr>
            <w:top w:val="none" w:sz="0" w:space="0" w:color="auto"/>
            <w:left w:val="none" w:sz="0" w:space="0" w:color="auto"/>
            <w:bottom w:val="none" w:sz="0" w:space="0" w:color="auto"/>
            <w:right w:val="none" w:sz="0" w:space="0" w:color="auto"/>
          </w:divBdr>
        </w:div>
        <w:div w:id="722211737">
          <w:marLeft w:val="480"/>
          <w:marRight w:val="0"/>
          <w:marTop w:val="0"/>
          <w:marBottom w:val="0"/>
          <w:divBdr>
            <w:top w:val="none" w:sz="0" w:space="0" w:color="auto"/>
            <w:left w:val="none" w:sz="0" w:space="0" w:color="auto"/>
            <w:bottom w:val="none" w:sz="0" w:space="0" w:color="auto"/>
            <w:right w:val="none" w:sz="0" w:space="0" w:color="auto"/>
          </w:divBdr>
        </w:div>
        <w:div w:id="1337004373">
          <w:marLeft w:val="480"/>
          <w:marRight w:val="0"/>
          <w:marTop w:val="0"/>
          <w:marBottom w:val="0"/>
          <w:divBdr>
            <w:top w:val="none" w:sz="0" w:space="0" w:color="auto"/>
            <w:left w:val="none" w:sz="0" w:space="0" w:color="auto"/>
            <w:bottom w:val="none" w:sz="0" w:space="0" w:color="auto"/>
            <w:right w:val="none" w:sz="0" w:space="0" w:color="auto"/>
          </w:divBdr>
        </w:div>
        <w:div w:id="1881357075">
          <w:marLeft w:val="480"/>
          <w:marRight w:val="0"/>
          <w:marTop w:val="0"/>
          <w:marBottom w:val="0"/>
          <w:divBdr>
            <w:top w:val="none" w:sz="0" w:space="0" w:color="auto"/>
            <w:left w:val="none" w:sz="0" w:space="0" w:color="auto"/>
            <w:bottom w:val="none" w:sz="0" w:space="0" w:color="auto"/>
            <w:right w:val="none" w:sz="0" w:space="0" w:color="auto"/>
          </w:divBdr>
        </w:div>
        <w:div w:id="1494444123">
          <w:marLeft w:val="480"/>
          <w:marRight w:val="0"/>
          <w:marTop w:val="0"/>
          <w:marBottom w:val="0"/>
          <w:divBdr>
            <w:top w:val="none" w:sz="0" w:space="0" w:color="auto"/>
            <w:left w:val="none" w:sz="0" w:space="0" w:color="auto"/>
            <w:bottom w:val="none" w:sz="0" w:space="0" w:color="auto"/>
            <w:right w:val="none" w:sz="0" w:space="0" w:color="auto"/>
          </w:divBdr>
        </w:div>
        <w:div w:id="580069824">
          <w:marLeft w:val="480"/>
          <w:marRight w:val="0"/>
          <w:marTop w:val="0"/>
          <w:marBottom w:val="0"/>
          <w:divBdr>
            <w:top w:val="none" w:sz="0" w:space="0" w:color="auto"/>
            <w:left w:val="none" w:sz="0" w:space="0" w:color="auto"/>
            <w:bottom w:val="none" w:sz="0" w:space="0" w:color="auto"/>
            <w:right w:val="none" w:sz="0" w:space="0" w:color="auto"/>
          </w:divBdr>
        </w:div>
        <w:div w:id="847403948">
          <w:marLeft w:val="480"/>
          <w:marRight w:val="0"/>
          <w:marTop w:val="0"/>
          <w:marBottom w:val="0"/>
          <w:divBdr>
            <w:top w:val="none" w:sz="0" w:space="0" w:color="auto"/>
            <w:left w:val="none" w:sz="0" w:space="0" w:color="auto"/>
            <w:bottom w:val="none" w:sz="0" w:space="0" w:color="auto"/>
            <w:right w:val="none" w:sz="0" w:space="0" w:color="auto"/>
          </w:divBdr>
        </w:div>
        <w:div w:id="1933782524">
          <w:marLeft w:val="480"/>
          <w:marRight w:val="0"/>
          <w:marTop w:val="0"/>
          <w:marBottom w:val="0"/>
          <w:divBdr>
            <w:top w:val="none" w:sz="0" w:space="0" w:color="auto"/>
            <w:left w:val="none" w:sz="0" w:space="0" w:color="auto"/>
            <w:bottom w:val="none" w:sz="0" w:space="0" w:color="auto"/>
            <w:right w:val="none" w:sz="0" w:space="0" w:color="auto"/>
          </w:divBdr>
        </w:div>
        <w:div w:id="718476443">
          <w:marLeft w:val="480"/>
          <w:marRight w:val="0"/>
          <w:marTop w:val="0"/>
          <w:marBottom w:val="0"/>
          <w:divBdr>
            <w:top w:val="none" w:sz="0" w:space="0" w:color="auto"/>
            <w:left w:val="none" w:sz="0" w:space="0" w:color="auto"/>
            <w:bottom w:val="none" w:sz="0" w:space="0" w:color="auto"/>
            <w:right w:val="none" w:sz="0" w:space="0" w:color="auto"/>
          </w:divBdr>
        </w:div>
        <w:div w:id="423648089">
          <w:marLeft w:val="480"/>
          <w:marRight w:val="0"/>
          <w:marTop w:val="0"/>
          <w:marBottom w:val="0"/>
          <w:divBdr>
            <w:top w:val="none" w:sz="0" w:space="0" w:color="auto"/>
            <w:left w:val="none" w:sz="0" w:space="0" w:color="auto"/>
            <w:bottom w:val="none" w:sz="0" w:space="0" w:color="auto"/>
            <w:right w:val="none" w:sz="0" w:space="0" w:color="auto"/>
          </w:divBdr>
        </w:div>
        <w:div w:id="192303073">
          <w:marLeft w:val="480"/>
          <w:marRight w:val="0"/>
          <w:marTop w:val="0"/>
          <w:marBottom w:val="0"/>
          <w:divBdr>
            <w:top w:val="none" w:sz="0" w:space="0" w:color="auto"/>
            <w:left w:val="none" w:sz="0" w:space="0" w:color="auto"/>
            <w:bottom w:val="none" w:sz="0" w:space="0" w:color="auto"/>
            <w:right w:val="none" w:sz="0" w:space="0" w:color="auto"/>
          </w:divBdr>
        </w:div>
        <w:div w:id="339702034">
          <w:marLeft w:val="480"/>
          <w:marRight w:val="0"/>
          <w:marTop w:val="0"/>
          <w:marBottom w:val="0"/>
          <w:divBdr>
            <w:top w:val="none" w:sz="0" w:space="0" w:color="auto"/>
            <w:left w:val="none" w:sz="0" w:space="0" w:color="auto"/>
            <w:bottom w:val="none" w:sz="0" w:space="0" w:color="auto"/>
            <w:right w:val="none" w:sz="0" w:space="0" w:color="auto"/>
          </w:divBdr>
        </w:div>
        <w:div w:id="1496337903">
          <w:marLeft w:val="480"/>
          <w:marRight w:val="0"/>
          <w:marTop w:val="0"/>
          <w:marBottom w:val="0"/>
          <w:divBdr>
            <w:top w:val="none" w:sz="0" w:space="0" w:color="auto"/>
            <w:left w:val="none" w:sz="0" w:space="0" w:color="auto"/>
            <w:bottom w:val="none" w:sz="0" w:space="0" w:color="auto"/>
            <w:right w:val="none" w:sz="0" w:space="0" w:color="auto"/>
          </w:divBdr>
        </w:div>
        <w:div w:id="1528762276">
          <w:marLeft w:val="480"/>
          <w:marRight w:val="0"/>
          <w:marTop w:val="0"/>
          <w:marBottom w:val="0"/>
          <w:divBdr>
            <w:top w:val="none" w:sz="0" w:space="0" w:color="auto"/>
            <w:left w:val="none" w:sz="0" w:space="0" w:color="auto"/>
            <w:bottom w:val="none" w:sz="0" w:space="0" w:color="auto"/>
            <w:right w:val="none" w:sz="0" w:space="0" w:color="auto"/>
          </w:divBdr>
        </w:div>
        <w:div w:id="19816914">
          <w:marLeft w:val="480"/>
          <w:marRight w:val="0"/>
          <w:marTop w:val="0"/>
          <w:marBottom w:val="0"/>
          <w:divBdr>
            <w:top w:val="none" w:sz="0" w:space="0" w:color="auto"/>
            <w:left w:val="none" w:sz="0" w:space="0" w:color="auto"/>
            <w:bottom w:val="none" w:sz="0" w:space="0" w:color="auto"/>
            <w:right w:val="none" w:sz="0" w:space="0" w:color="auto"/>
          </w:divBdr>
        </w:div>
        <w:div w:id="1736120207">
          <w:marLeft w:val="480"/>
          <w:marRight w:val="0"/>
          <w:marTop w:val="0"/>
          <w:marBottom w:val="0"/>
          <w:divBdr>
            <w:top w:val="none" w:sz="0" w:space="0" w:color="auto"/>
            <w:left w:val="none" w:sz="0" w:space="0" w:color="auto"/>
            <w:bottom w:val="none" w:sz="0" w:space="0" w:color="auto"/>
            <w:right w:val="none" w:sz="0" w:space="0" w:color="auto"/>
          </w:divBdr>
        </w:div>
        <w:div w:id="1304197517">
          <w:marLeft w:val="480"/>
          <w:marRight w:val="0"/>
          <w:marTop w:val="0"/>
          <w:marBottom w:val="0"/>
          <w:divBdr>
            <w:top w:val="none" w:sz="0" w:space="0" w:color="auto"/>
            <w:left w:val="none" w:sz="0" w:space="0" w:color="auto"/>
            <w:bottom w:val="none" w:sz="0" w:space="0" w:color="auto"/>
            <w:right w:val="none" w:sz="0" w:space="0" w:color="auto"/>
          </w:divBdr>
        </w:div>
        <w:div w:id="1124275129">
          <w:marLeft w:val="480"/>
          <w:marRight w:val="0"/>
          <w:marTop w:val="0"/>
          <w:marBottom w:val="0"/>
          <w:divBdr>
            <w:top w:val="none" w:sz="0" w:space="0" w:color="auto"/>
            <w:left w:val="none" w:sz="0" w:space="0" w:color="auto"/>
            <w:bottom w:val="none" w:sz="0" w:space="0" w:color="auto"/>
            <w:right w:val="none" w:sz="0" w:space="0" w:color="auto"/>
          </w:divBdr>
        </w:div>
        <w:div w:id="847868827">
          <w:marLeft w:val="480"/>
          <w:marRight w:val="0"/>
          <w:marTop w:val="0"/>
          <w:marBottom w:val="0"/>
          <w:divBdr>
            <w:top w:val="none" w:sz="0" w:space="0" w:color="auto"/>
            <w:left w:val="none" w:sz="0" w:space="0" w:color="auto"/>
            <w:bottom w:val="none" w:sz="0" w:space="0" w:color="auto"/>
            <w:right w:val="none" w:sz="0" w:space="0" w:color="auto"/>
          </w:divBdr>
        </w:div>
        <w:div w:id="566116252">
          <w:marLeft w:val="480"/>
          <w:marRight w:val="0"/>
          <w:marTop w:val="0"/>
          <w:marBottom w:val="0"/>
          <w:divBdr>
            <w:top w:val="none" w:sz="0" w:space="0" w:color="auto"/>
            <w:left w:val="none" w:sz="0" w:space="0" w:color="auto"/>
            <w:bottom w:val="none" w:sz="0" w:space="0" w:color="auto"/>
            <w:right w:val="none" w:sz="0" w:space="0" w:color="auto"/>
          </w:divBdr>
        </w:div>
        <w:div w:id="1571572790">
          <w:marLeft w:val="480"/>
          <w:marRight w:val="0"/>
          <w:marTop w:val="0"/>
          <w:marBottom w:val="0"/>
          <w:divBdr>
            <w:top w:val="none" w:sz="0" w:space="0" w:color="auto"/>
            <w:left w:val="none" w:sz="0" w:space="0" w:color="auto"/>
            <w:bottom w:val="none" w:sz="0" w:space="0" w:color="auto"/>
            <w:right w:val="none" w:sz="0" w:space="0" w:color="auto"/>
          </w:divBdr>
        </w:div>
        <w:div w:id="1329753277">
          <w:marLeft w:val="480"/>
          <w:marRight w:val="0"/>
          <w:marTop w:val="0"/>
          <w:marBottom w:val="0"/>
          <w:divBdr>
            <w:top w:val="none" w:sz="0" w:space="0" w:color="auto"/>
            <w:left w:val="none" w:sz="0" w:space="0" w:color="auto"/>
            <w:bottom w:val="none" w:sz="0" w:space="0" w:color="auto"/>
            <w:right w:val="none" w:sz="0" w:space="0" w:color="auto"/>
          </w:divBdr>
        </w:div>
        <w:div w:id="1163816615">
          <w:marLeft w:val="480"/>
          <w:marRight w:val="0"/>
          <w:marTop w:val="0"/>
          <w:marBottom w:val="0"/>
          <w:divBdr>
            <w:top w:val="none" w:sz="0" w:space="0" w:color="auto"/>
            <w:left w:val="none" w:sz="0" w:space="0" w:color="auto"/>
            <w:bottom w:val="none" w:sz="0" w:space="0" w:color="auto"/>
            <w:right w:val="none" w:sz="0" w:space="0" w:color="auto"/>
          </w:divBdr>
        </w:div>
        <w:div w:id="843009196">
          <w:marLeft w:val="480"/>
          <w:marRight w:val="0"/>
          <w:marTop w:val="0"/>
          <w:marBottom w:val="0"/>
          <w:divBdr>
            <w:top w:val="none" w:sz="0" w:space="0" w:color="auto"/>
            <w:left w:val="none" w:sz="0" w:space="0" w:color="auto"/>
            <w:bottom w:val="none" w:sz="0" w:space="0" w:color="auto"/>
            <w:right w:val="none" w:sz="0" w:space="0" w:color="auto"/>
          </w:divBdr>
        </w:div>
        <w:div w:id="2094088200">
          <w:marLeft w:val="480"/>
          <w:marRight w:val="0"/>
          <w:marTop w:val="0"/>
          <w:marBottom w:val="0"/>
          <w:divBdr>
            <w:top w:val="none" w:sz="0" w:space="0" w:color="auto"/>
            <w:left w:val="none" w:sz="0" w:space="0" w:color="auto"/>
            <w:bottom w:val="none" w:sz="0" w:space="0" w:color="auto"/>
            <w:right w:val="none" w:sz="0" w:space="0" w:color="auto"/>
          </w:divBdr>
        </w:div>
        <w:div w:id="314070619">
          <w:marLeft w:val="480"/>
          <w:marRight w:val="0"/>
          <w:marTop w:val="0"/>
          <w:marBottom w:val="0"/>
          <w:divBdr>
            <w:top w:val="none" w:sz="0" w:space="0" w:color="auto"/>
            <w:left w:val="none" w:sz="0" w:space="0" w:color="auto"/>
            <w:bottom w:val="none" w:sz="0" w:space="0" w:color="auto"/>
            <w:right w:val="none" w:sz="0" w:space="0" w:color="auto"/>
          </w:divBdr>
        </w:div>
        <w:div w:id="2084794734">
          <w:marLeft w:val="480"/>
          <w:marRight w:val="0"/>
          <w:marTop w:val="0"/>
          <w:marBottom w:val="0"/>
          <w:divBdr>
            <w:top w:val="none" w:sz="0" w:space="0" w:color="auto"/>
            <w:left w:val="none" w:sz="0" w:space="0" w:color="auto"/>
            <w:bottom w:val="none" w:sz="0" w:space="0" w:color="auto"/>
            <w:right w:val="none" w:sz="0" w:space="0" w:color="auto"/>
          </w:divBdr>
        </w:div>
        <w:div w:id="551310847">
          <w:marLeft w:val="480"/>
          <w:marRight w:val="0"/>
          <w:marTop w:val="0"/>
          <w:marBottom w:val="0"/>
          <w:divBdr>
            <w:top w:val="none" w:sz="0" w:space="0" w:color="auto"/>
            <w:left w:val="none" w:sz="0" w:space="0" w:color="auto"/>
            <w:bottom w:val="none" w:sz="0" w:space="0" w:color="auto"/>
            <w:right w:val="none" w:sz="0" w:space="0" w:color="auto"/>
          </w:divBdr>
        </w:div>
        <w:div w:id="796069784">
          <w:marLeft w:val="480"/>
          <w:marRight w:val="0"/>
          <w:marTop w:val="0"/>
          <w:marBottom w:val="0"/>
          <w:divBdr>
            <w:top w:val="none" w:sz="0" w:space="0" w:color="auto"/>
            <w:left w:val="none" w:sz="0" w:space="0" w:color="auto"/>
            <w:bottom w:val="none" w:sz="0" w:space="0" w:color="auto"/>
            <w:right w:val="none" w:sz="0" w:space="0" w:color="auto"/>
          </w:divBdr>
        </w:div>
        <w:div w:id="1359043030">
          <w:marLeft w:val="480"/>
          <w:marRight w:val="0"/>
          <w:marTop w:val="0"/>
          <w:marBottom w:val="0"/>
          <w:divBdr>
            <w:top w:val="none" w:sz="0" w:space="0" w:color="auto"/>
            <w:left w:val="none" w:sz="0" w:space="0" w:color="auto"/>
            <w:bottom w:val="none" w:sz="0" w:space="0" w:color="auto"/>
            <w:right w:val="none" w:sz="0" w:space="0" w:color="auto"/>
          </w:divBdr>
        </w:div>
        <w:div w:id="236717452">
          <w:marLeft w:val="480"/>
          <w:marRight w:val="0"/>
          <w:marTop w:val="0"/>
          <w:marBottom w:val="0"/>
          <w:divBdr>
            <w:top w:val="none" w:sz="0" w:space="0" w:color="auto"/>
            <w:left w:val="none" w:sz="0" w:space="0" w:color="auto"/>
            <w:bottom w:val="none" w:sz="0" w:space="0" w:color="auto"/>
            <w:right w:val="none" w:sz="0" w:space="0" w:color="auto"/>
          </w:divBdr>
        </w:div>
        <w:div w:id="1488597777">
          <w:marLeft w:val="480"/>
          <w:marRight w:val="0"/>
          <w:marTop w:val="0"/>
          <w:marBottom w:val="0"/>
          <w:divBdr>
            <w:top w:val="none" w:sz="0" w:space="0" w:color="auto"/>
            <w:left w:val="none" w:sz="0" w:space="0" w:color="auto"/>
            <w:bottom w:val="none" w:sz="0" w:space="0" w:color="auto"/>
            <w:right w:val="none" w:sz="0" w:space="0" w:color="auto"/>
          </w:divBdr>
        </w:div>
        <w:div w:id="889658329">
          <w:marLeft w:val="480"/>
          <w:marRight w:val="0"/>
          <w:marTop w:val="0"/>
          <w:marBottom w:val="0"/>
          <w:divBdr>
            <w:top w:val="none" w:sz="0" w:space="0" w:color="auto"/>
            <w:left w:val="none" w:sz="0" w:space="0" w:color="auto"/>
            <w:bottom w:val="none" w:sz="0" w:space="0" w:color="auto"/>
            <w:right w:val="none" w:sz="0" w:space="0" w:color="auto"/>
          </w:divBdr>
        </w:div>
        <w:div w:id="1521816225">
          <w:marLeft w:val="480"/>
          <w:marRight w:val="0"/>
          <w:marTop w:val="0"/>
          <w:marBottom w:val="0"/>
          <w:divBdr>
            <w:top w:val="none" w:sz="0" w:space="0" w:color="auto"/>
            <w:left w:val="none" w:sz="0" w:space="0" w:color="auto"/>
            <w:bottom w:val="none" w:sz="0" w:space="0" w:color="auto"/>
            <w:right w:val="none" w:sz="0" w:space="0" w:color="auto"/>
          </w:divBdr>
        </w:div>
        <w:div w:id="878318015">
          <w:marLeft w:val="480"/>
          <w:marRight w:val="0"/>
          <w:marTop w:val="0"/>
          <w:marBottom w:val="0"/>
          <w:divBdr>
            <w:top w:val="none" w:sz="0" w:space="0" w:color="auto"/>
            <w:left w:val="none" w:sz="0" w:space="0" w:color="auto"/>
            <w:bottom w:val="none" w:sz="0" w:space="0" w:color="auto"/>
            <w:right w:val="none" w:sz="0" w:space="0" w:color="auto"/>
          </w:divBdr>
        </w:div>
        <w:div w:id="1495607689">
          <w:marLeft w:val="480"/>
          <w:marRight w:val="0"/>
          <w:marTop w:val="0"/>
          <w:marBottom w:val="0"/>
          <w:divBdr>
            <w:top w:val="none" w:sz="0" w:space="0" w:color="auto"/>
            <w:left w:val="none" w:sz="0" w:space="0" w:color="auto"/>
            <w:bottom w:val="none" w:sz="0" w:space="0" w:color="auto"/>
            <w:right w:val="none" w:sz="0" w:space="0" w:color="auto"/>
          </w:divBdr>
        </w:div>
        <w:div w:id="1849557063">
          <w:marLeft w:val="480"/>
          <w:marRight w:val="0"/>
          <w:marTop w:val="0"/>
          <w:marBottom w:val="0"/>
          <w:divBdr>
            <w:top w:val="none" w:sz="0" w:space="0" w:color="auto"/>
            <w:left w:val="none" w:sz="0" w:space="0" w:color="auto"/>
            <w:bottom w:val="none" w:sz="0" w:space="0" w:color="auto"/>
            <w:right w:val="none" w:sz="0" w:space="0" w:color="auto"/>
          </w:divBdr>
        </w:div>
        <w:div w:id="992485048">
          <w:marLeft w:val="480"/>
          <w:marRight w:val="0"/>
          <w:marTop w:val="0"/>
          <w:marBottom w:val="0"/>
          <w:divBdr>
            <w:top w:val="none" w:sz="0" w:space="0" w:color="auto"/>
            <w:left w:val="none" w:sz="0" w:space="0" w:color="auto"/>
            <w:bottom w:val="none" w:sz="0" w:space="0" w:color="auto"/>
            <w:right w:val="none" w:sz="0" w:space="0" w:color="auto"/>
          </w:divBdr>
        </w:div>
        <w:div w:id="144932126">
          <w:marLeft w:val="480"/>
          <w:marRight w:val="0"/>
          <w:marTop w:val="0"/>
          <w:marBottom w:val="0"/>
          <w:divBdr>
            <w:top w:val="none" w:sz="0" w:space="0" w:color="auto"/>
            <w:left w:val="none" w:sz="0" w:space="0" w:color="auto"/>
            <w:bottom w:val="none" w:sz="0" w:space="0" w:color="auto"/>
            <w:right w:val="none" w:sz="0" w:space="0" w:color="auto"/>
          </w:divBdr>
        </w:div>
        <w:div w:id="598488310">
          <w:marLeft w:val="480"/>
          <w:marRight w:val="0"/>
          <w:marTop w:val="0"/>
          <w:marBottom w:val="0"/>
          <w:divBdr>
            <w:top w:val="none" w:sz="0" w:space="0" w:color="auto"/>
            <w:left w:val="none" w:sz="0" w:space="0" w:color="auto"/>
            <w:bottom w:val="none" w:sz="0" w:space="0" w:color="auto"/>
            <w:right w:val="none" w:sz="0" w:space="0" w:color="auto"/>
          </w:divBdr>
        </w:div>
        <w:div w:id="1499928152">
          <w:marLeft w:val="480"/>
          <w:marRight w:val="0"/>
          <w:marTop w:val="0"/>
          <w:marBottom w:val="0"/>
          <w:divBdr>
            <w:top w:val="none" w:sz="0" w:space="0" w:color="auto"/>
            <w:left w:val="none" w:sz="0" w:space="0" w:color="auto"/>
            <w:bottom w:val="none" w:sz="0" w:space="0" w:color="auto"/>
            <w:right w:val="none" w:sz="0" w:space="0" w:color="auto"/>
          </w:divBdr>
        </w:div>
        <w:div w:id="1216895063">
          <w:marLeft w:val="480"/>
          <w:marRight w:val="0"/>
          <w:marTop w:val="0"/>
          <w:marBottom w:val="0"/>
          <w:divBdr>
            <w:top w:val="none" w:sz="0" w:space="0" w:color="auto"/>
            <w:left w:val="none" w:sz="0" w:space="0" w:color="auto"/>
            <w:bottom w:val="none" w:sz="0" w:space="0" w:color="auto"/>
            <w:right w:val="none" w:sz="0" w:space="0" w:color="auto"/>
          </w:divBdr>
        </w:div>
        <w:div w:id="579218783">
          <w:marLeft w:val="480"/>
          <w:marRight w:val="0"/>
          <w:marTop w:val="0"/>
          <w:marBottom w:val="0"/>
          <w:divBdr>
            <w:top w:val="none" w:sz="0" w:space="0" w:color="auto"/>
            <w:left w:val="none" w:sz="0" w:space="0" w:color="auto"/>
            <w:bottom w:val="none" w:sz="0" w:space="0" w:color="auto"/>
            <w:right w:val="none" w:sz="0" w:space="0" w:color="auto"/>
          </w:divBdr>
        </w:div>
        <w:div w:id="453984379">
          <w:marLeft w:val="480"/>
          <w:marRight w:val="0"/>
          <w:marTop w:val="0"/>
          <w:marBottom w:val="0"/>
          <w:divBdr>
            <w:top w:val="none" w:sz="0" w:space="0" w:color="auto"/>
            <w:left w:val="none" w:sz="0" w:space="0" w:color="auto"/>
            <w:bottom w:val="none" w:sz="0" w:space="0" w:color="auto"/>
            <w:right w:val="none" w:sz="0" w:space="0" w:color="auto"/>
          </w:divBdr>
        </w:div>
        <w:div w:id="1113592161">
          <w:marLeft w:val="480"/>
          <w:marRight w:val="0"/>
          <w:marTop w:val="0"/>
          <w:marBottom w:val="0"/>
          <w:divBdr>
            <w:top w:val="none" w:sz="0" w:space="0" w:color="auto"/>
            <w:left w:val="none" w:sz="0" w:space="0" w:color="auto"/>
            <w:bottom w:val="none" w:sz="0" w:space="0" w:color="auto"/>
            <w:right w:val="none" w:sz="0" w:space="0" w:color="auto"/>
          </w:divBdr>
        </w:div>
        <w:div w:id="1117872913">
          <w:marLeft w:val="480"/>
          <w:marRight w:val="0"/>
          <w:marTop w:val="0"/>
          <w:marBottom w:val="0"/>
          <w:divBdr>
            <w:top w:val="none" w:sz="0" w:space="0" w:color="auto"/>
            <w:left w:val="none" w:sz="0" w:space="0" w:color="auto"/>
            <w:bottom w:val="none" w:sz="0" w:space="0" w:color="auto"/>
            <w:right w:val="none" w:sz="0" w:space="0" w:color="auto"/>
          </w:divBdr>
        </w:div>
        <w:div w:id="732313706">
          <w:marLeft w:val="480"/>
          <w:marRight w:val="0"/>
          <w:marTop w:val="0"/>
          <w:marBottom w:val="0"/>
          <w:divBdr>
            <w:top w:val="none" w:sz="0" w:space="0" w:color="auto"/>
            <w:left w:val="none" w:sz="0" w:space="0" w:color="auto"/>
            <w:bottom w:val="none" w:sz="0" w:space="0" w:color="auto"/>
            <w:right w:val="none" w:sz="0" w:space="0" w:color="auto"/>
          </w:divBdr>
        </w:div>
        <w:div w:id="1188057366">
          <w:marLeft w:val="480"/>
          <w:marRight w:val="0"/>
          <w:marTop w:val="0"/>
          <w:marBottom w:val="0"/>
          <w:divBdr>
            <w:top w:val="none" w:sz="0" w:space="0" w:color="auto"/>
            <w:left w:val="none" w:sz="0" w:space="0" w:color="auto"/>
            <w:bottom w:val="none" w:sz="0" w:space="0" w:color="auto"/>
            <w:right w:val="none" w:sz="0" w:space="0" w:color="auto"/>
          </w:divBdr>
        </w:div>
        <w:div w:id="1789085274">
          <w:marLeft w:val="480"/>
          <w:marRight w:val="0"/>
          <w:marTop w:val="0"/>
          <w:marBottom w:val="0"/>
          <w:divBdr>
            <w:top w:val="none" w:sz="0" w:space="0" w:color="auto"/>
            <w:left w:val="none" w:sz="0" w:space="0" w:color="auto"/>
            <w:bottom w:val="none" w:sz="0" w:space="0" w:color="auto"/>
            <w:right w:val="none" w:sz="0" w:space="0" w:color="auto"/>
          </w:divBdr>
        </w:div>
        <w:div w:id="178546918">
          <w:marLeft w:val="480"/>
          <w:marRight w:val="0"/>
          <w:marTop w:val="0"/>
          <w:marBottom w:val="0"/>
          <w:divBdr>
            <w:top w:val="none" w:sz="0" w:space="0" w:color="auto"/>
            <w:left w:val="none" w:sz="0" w:space="0" w:color="auto"/>
            <w:bottom w:val="none" w:sz="0" w:space="0" w:color="auto"/>
            <w:right w:val="none" w:sz="0" w:space="0" w:color="auto"/>
          </w:divBdr>
        </w:div>
        <w:div w:id="1503203193">
          <w:marLeft w:val="480"/>
          <w:marRight w:val="0"/>
          <w:marTop w:val="0"/>
          <w:marBottom w:val="0"/>
          <w:divBdr>
            <w:top w:val="none" w:sz="0" w:space="0" w:color="auto"/>
            <w:left w:val="none" w:sz="0" w:space="0" w:color="auto"/>
            <w:bottom w:val="none" w:sz="0" w:space="0" w:color="auto"/>
            <w:right w:val="none" w:sz="0" w:space="0" w:color="auto"/>
          </w:divBdr>
        </w:div>
        <w:div w:id="517350033">
          <w:marLeft w:val="480"/>
          <w:marRight w:val="0"/>
          <w:marTop w:val="0"/>
          <w:marBottom w:val="0"/>
          <w:divBdr>
            <w:top w:val="none" w:sz="0" w:space="0" w:color="auto"/>
            <w:left w:val="none" w:sz="0" w:space="0" w:color="auto"/>
            <w:bottom w:val="none" w:sz="0" w:space="0" w:color="auto"/>
            <w:right w:val="none" w:sz="0" w:space="0" w:color="auto"/>
          </w:divBdr>
        </w:div>
        <w:div w:id="803039884">
          <w:marLeft w:val="480"/>
          <w:marRight w:val="0"/>
          <w:marTop w:val="0"/>
          <w:marBottom w:val="0"/>
          <w:divBdr>
            <w:top w:val="none" w:sz="0" w:space="0" w:color="auto"/>
            <w:left w:val="none" w:sz="0" w:space="0" w:color="auto"/>
            <w:bottom w:val="none" w:sz="0" w:space="0" w:color="auto"/>
            <w:right w:val="none" w:sz="0" w:space="0" w:color="auto"/>
          </w:divBdr>
        </w:div>
        <w:div w:id="541943569">
          <w:marLeft w:val="480"/>
          <w:marRight w:val="0"/>
          <w:marTop w:val="0"/>
          <w:marBottom w:val="0"/>
          <w:divBdr>
            <w:top w:val="none" w:sz="0" w:space="0" w:color="auto"/>
            <w:left w:val="none" w:sz="0" w:space="0" w:color="auto"/>
            <w:bottom w:val="none" w:sz="0" w:space="0" w:color="auto"/>
            <w:right w:val="none" w:sz="0" w:space="0" w:color="auto"/>
          </w:divBdr>
        </w:div>
        <w:div w:id="800222573">
          <w:marLeft w:val="480"/>
          <w:marRight w:val="0"/>
          <w:marTop w:val="0"/>
          <w:marBottom w:val="0"/>
          <w:divBdr>
            <w:top w:val="none" w:sz="0" w:space="0" w:color="auto"/>
            <w:left w:val="none" w:sz="0" w:space="0" w:color="auto"/>
            <w:bottom w:val="none" w:sz="0" w:space="0" w:color="auto"/>
            <w:right w:val="none" w:sz="0" w:space="0" w:color="auto"/>
          </w:divBdr>
        </w:div>
        <w:div w:id="636376595">
          <w:marLeft w:val="480"/>
          <w:marRight w:val="0"/>
          <w:marTop w:val="0"/>
          <w:marBottom w:val="0"/>
          <w:divBdr>
            <w:top w:val="none" w:sz="0" w:space="0" w:color="auto"/>
            <w:left w:val="none" w:sz="0" w:space="0" w:color="auto"/>
            <w:bottom w:val="none" w:sz="0" w:space="0" w:color="auto"/>
            <w:right w:val="none" w:sz="0" w:space="0" w:color="auto"/>
          </w:divBdr>
        </w:div>
        <w:div w:id="1232080804">
          <w:marLeft w:val="480"/>
          <w:marRight w:val="0"/>
          <w:marTop w:val="0"/>
          <w:marBottom w:val="0"/>
          <w:divBdr>
            <w:top w:val="none" w:sz="0" w:space="0" w:color="auto"/>
            <w:left w:val="none" w:sz="0" w:space="0" w:color="auto"/>
            <w:bottom w:val="none" w:sz="0" w:space="0" w:color="auto"/>
            <w:right w:val="none" w:sz="0" w:space="0" w:color="auto"/>
          </w:divBdr>
        </w:div>
        <w:div w:id="116148334">
          <w:marLeft w:val="480"/>
          <w:marRight w:val="0"/>
          <w:marTop w:val="0"/>
          <w:marBottom w:val="0"/>
          <w:divBdr>
            <w:top w:val="none" w:sz="0" w:space="0" w:color="auto"/>
            <w:left w:val="none" w:sz="0" w:space="0" w:color="auto"/>
            <w:bottom w:val="none" w:sz="0" w:space="0" w:color="auto"/>
            <w:right w:val="none" w:sz="0" w:space="0" w:color="auto"/>
          </w:divBdr>
        </w:div>
      </w:divsChild>
    </w:div>
    <w:div w:id="809320657">
      <w:bodyDiv w:val="1"/>
      <w:marLeft w:val="0"/>
      <w:marRight w:val="0"/>
      <w:marTop w:val="0"/>
      <w:marBottom w:val="0"/>
      <w:divBdr>
        <w:top w:val="none" w:sz="0" w:space="0" w:color="auto"/>
        <w:left w:val="none" w:sz="0" w:space="0" w:color="auto"/>
        <w:bottom w:val="none" w:sz="0" w:space="0" w:color="auto"/>
        <w:right w:val="none" w:sz="0" w:space="0" w:color="auto"/>
      </w:divBdr>
      <w:divsChild>
        <w:div w:id="587349336">
          <w:marLeft w:val="480"/>
          <w:marRight w:val="0"/>
          <w:marTop w:val="0"/>
          <w:marBottom w:val="0"/>
          <w:divBdr>
            <w:top w:val="none" w:sz="0" w:space="0" w:color="auto"/>
            <w:left w:val="none" w:sz="0" w:space="0" w:color="auto"/>
            <w:bottom w:val="none" w:sz="0" w:space="0" w:color="auto"/>
            <w:right w:val="none" w:sz="0" w:space="0" w:color="auto"/>
          </w:divBdr>
        </w:div>
        <w:div w:id="61567887">
          <w:marLeft w:val="480"/>
          <w:marRight w:val="0"/>
          <w:marTop w:val="0"/>
          <w:marBottom w:val="0"/>
          <w:divBdr>
            <w:top w:val="none" w:sz="0" w:space="0" w:color="auto"/>
            <w:left w:val="none" w:sz="0" w:space="0" w:color="auto"/>
            <w:bottom w:val="none" w:sz="0" w:space="0" w:color="auto"/>
            <w:right w:val="none" w:sz="0" w:space="0" w:color="auto"/>
          </w:divBdr>
        </w:div>
        <w:div w:id="1839887275">
          <w:marLeft w:val="480"/>
          <w:marRight w:val="0"/>
          <w:marTop w:val="0"/>
          <w:marBottom w:val="0"/>
          <w:divBdr>
            <w:top w:val="none" w:sz="0" w:space="0" w:color="auto"/>
            <w:left w:val="none" w:sz="0" w:space="0" w:color="auto"/>
            <w:bottom w:val="none" w:sz="0" w:space="0" w:color="auto"/>
            <w:right w:val="none" w:sz="0" w:space="0" w:color="auto"/>
          </w:divBdr>
        </w:div>
        <w:div w:id="43986506">
          <w:marLeft w:val="480"/>
          <w:marRight w:val="0"/>
          <w:marTop w:val="0"/>
          <w:marBottom w:val="0"/>
          <w:divBdr>
            <w:top w:val="none" w:sz="0" w:space="0" w:color="auto"/>
            <w:left w:val="none" w:sz="0" w:space="0" w:color="auto"/>
            <w:bottom w:val="none" w:sz="0" w:space="0" w:color="auto"/>
            <w:right w:val="none" w:sz="0" w:space="0" w:color="auto"/>
          </w:divBdr>
        </w:div>
        <w:div w:id="1503819419">
          <w:marLeft w:val="480"/>
          <w:marRight w:val="0"/>
          <w:marTop w:val="0"/>
          <w:marBottom w:val="0"/>
          <w:divBdr>
            <w:top w:val="none" w:sz="0" w:space="0" w:color="auto"/>
            <w:left w:val="none" w:sz="0" w:space="0" w:color="auto"/>
            <w:bottom w:val="none" w:sz="0" w:space="0" w:color="auto"/>
            <w:right w:val="none" w:sz="0" w:space="0" w:color="auto"/>
          </w:divBdr>
        </w:div>
        <w:div w:id="1235236147">
          <w:marLeft w:val="480"/>
          <w:marRight w:val="0"/>
          <w:marTop w:val="0"/>
          <w:marBottom w:val="0"/>
          <w:divBdr>
            <w:top w:val="none" w:sz="0" w:space="0" w:color="auto"/>
            <w:left w:val="none" w:sz="0" w:space="0" w:color="auto"/>
            <w:bottom w:val="none" w:sz="0" w:space="0" w:color="auto"/>
            <w:right w:val="none" w:sz="0" w:space="0" w:color="auto"/>
          </w:divBdr>
        </w:div>
        <w:div w:id="2140415050">
          <w:marLeft w:val="480"/>
          <w:marRight w:val="0"/>
          <w:marTop w:val="0"/>
          <w:marBottom w:val="0"/>
          <w:divBdr>
            <w:top w:val="none" w:sz="0" w:space="0" w:color="auto"/>
            <w:left w:val="none" w:sz="0" w:space="0" w:color="auto"/>
            <w:bottom w:val="none" w:sz="0" w:space="0" w:color="auto"/>
            <w:right w:val="none" w:sz="0" w:space="0" w:color="auto"/>
          </w:divBdr>
        </w:div>
        <w:div w:id="1045761415">
          <w:marLeft w:val="480"/>
          <w:marRight w:val="0"/>
          <w:marTop w:val="0"/>
          <w:marBottom w:val="0"/>
          <w:divBdr>
            <w:top w:val="none" w:sz="0" w:space="0" w:color="auto"/>
            <w:left w:val="none" w:sz="0" w:space="0" w:color="auto"/>
            <w:bottom w:val="none" w:sz="0" w:space="0" w:color="auto"/>
            <w:right w:val="none" w:sz="0" w:space="0" w:color="auto"/>
          </w:divBdr>
        </w:div>
        <w:div w:id="97650418">
          <w:marLeft w:val="480"/>
          <w:marRight w:val="0"/>
          <w:marTop w:val="0"/>
          <w:marBottom w:val="0"/>
          <w:divBdr>
            <w:top w:val="none" w:sz="0" w:space="0" w:color="auto"/>
            <w:left w:val="none" w:sz="0" w:space="0" w:color="auto"/>
            <w:bottom w:val="none" w:sz="0" w:space="0" w:color="auto"/>
            <w:right w:val="none" w:sz="0" w:space="0" w:color="auto"/>
          </w:divBdr>
        </w:div>
        <w:div w:id="100952699">
          <w:marLeft w:val="480"/>
          <w:marRight w:val="0"/>
          <w:marTop w:val="0"/>
          <w:marBottom w:val="0"/>
          <w:divBdr>
            <w:top w:val="none" w:sz="0" w:space="0" w:color="auto"/>
            <w:left w:val="none" w:sz="0" w:space="0" w:color="auto"/>
            <w:bottom w:val="none" w:sz="0" w:space="0" w:color="auto"/>
            <w:right w:val="none" w:sz="0" w:space="0" w:color="auto"/>
          </w:divBdr>
        </w:div>
        <w:div w:id="711459133">
          <w:marLeft w:val="480"/>
          <w:marRight w:val="0"/>
          <w:marTop w:val="0"/>
          <w:marBottom w:val="0"/>
          <w:divBdr>
            <w:top w:val="none" w:sz="0" w:space="0" w:color="auto"/>
            <w:left w:val="none" w:sz="0" w:space="0" w:color="auto"/>
            <w:bottom w:val="none" w:sz="0" w:space="0" w:color="auto"/>
            <w:right w:val="none" w:sz="0" w:space="0" w:color="auto"/>
          </w:divBdr>
        </w:div>
        <w:div w:id="2105572194">
          <w:marLeft w:val="480"/>
          <w:marRight w:val="0"/>
          <w:marTop w:val="0"/>
          <w:marBottom w:val="0"/>
          <w:divBdr>
            <w:top w:val="none" w:sz="0" w:space="0" w:color="auto"/>
            <w:left w:val="none" w:sz="0" w:space="0" w:color="auto"/>
            <w:bottom w:val="none" w:sz="0" w:space="0" w:color="auto"/>
            <w:right w:val="none" w:sz="0" w:space="0" w:color="auto"/>
          </w:divBdr>
        </w:div>
        <w:div w:id="286858255">
          <w:marLeft w:val="480"/>
          <w:marRight w:val="0"/>
          <w:marTop w:val="0"/>
          <w:marBottom w:val="0"/>
          <w:divBdr>
            <w:top w:val="none" w:sz="0" w:space="0" w:color="auto"/>
            <w:left w:val="none" w:sz="0" w:space="0" w:color="auto"/>
            <w:bottom w:val="none" w:sz="0" w:space="0" w:color="auto"/>
            <w:right w:val="none" w:sz="0" w:space="0" w:color="auto"/>
          </w:divBdr>
        </w:div>
        <w:div w:id="1772431898">
          <w:marLeft w:val="480"/>
          <w:marRight w:val="0"/>
          <w:marTop w:val="0"/>
          <w:marBottom w:val="0"/>
          <w:divBdr>
            <w:top w:val="none" w:sz="0" w:space="0" w:color="auto"/>
            <w:left w:val="none" w:sz="0" w:space="0" w:color="auto"/>
            <w:bottom w:val="none" w:sz="0" w:space="0" w:color="auto"/>
            <w:right w:val="none" w:sz="0" w:space="0" w:color="auto"/>
          </w:divBdr>
        </w:div>
        <w:div w:id="794301037">
          <w:marLeft w:val="480"/>
          <w:marRight w:val="0"/>
          <w:marTop w:val="0"/>
          <w:marBottom w:val="0"/>
          <w:divBdr>
            <w:top w:val="none" w:sz="0" w:space="0" w:color="auto"/>
            <w:left w:val="none" w:sz="0" w:space="0" w:color="auto"/>
            <w:bottom w:val="none" w:sz="0" w:space="0" w:color="auto"/>
            <w:right w:val="none" w:sz="0" w:space="0" w:color="auto"/>
          </w:divBdr>
        </w:div>
        <w:div w:id="1855027681">
          <w:marLeft w:val="480"/>
          <w:marRight w:val="0"/>
          <w:marTop w:val="0"/>
          <w:marBottom w:val="0"/>
          <w:divBdr>
            <w:top w:val="none" w:sz="0" w:space="0" w:color="auto"/>
            <w:left w:val="none" w:sz="0" w:space="0" w:color="auto"/>
            <w:bottom w:val="none" w:sz="0" w:space="0" w:color="auto"/>
            <w:right w:val="none" w:sz="0" w:space="0" w:color="auto"/>
          </w:divBdr>
        </w:div>
        <w:div w:id="1632250774">
          <w:marLeft w:val="480"/>
          <w:marRight w:val="0"/>
          <w:marTop w:val="0"/>
          <w:marBottom w:val="0"/>
          <w:divBdr>
            <w:top w:val="none" w:sz="0" w:space="0" w:color="auto"/>
            <w:left w:val="none" w:sz="0" w:space="0" w:color="auto"/>
            <w:bottom w:val="none" w:sz="0" w:space="0" w:color="auto"/>
            <w:right w:val="none" w:sz="0" w:space="0" w:color="auto"/>
          </w:divBdr>
        </w:div>
        <w:div w:id="776563800">
          <w:marLeft w:val="480"/>
          <w:marRight w:val="0"/>
          <w:marTop w:val="0"/>
          <w:marBottom w:val="0"/>
          <w:divBdr>
            <w:top w:val="none" w:sz="0" w:space="0" w:color="auto"/>
            <w:left w:val="none" w:sz="0" w:space="0" w:color="auto"/>
            <w:bottom w:val="none" w:sz="0" w:space="0" w:color="auto"/>
            <w:right w:val="none" w:sz="0" w:space="0" w:color="auto"/>
          </w:divBdr>
        </w:div>
        <w:div w:id="187255195">
          <w:marLeft w:val="480"/>
          <w:marRight w:val="0"/>
          <w:marTop w:val="0"/>
          <w:marBottom w:val="0"/>
          <w:divBdr>
            <w:top w:val="none" w:sz="0" w:space="0" w:color="auto"/>
            <w:left w:val="none" w:sz="0" w:space="0" w:color="auto"/>
            <w:bottom w:val="none" w:sz="0" w:space="0" w:color="auto"/>
            <w:right w:val="none" w:sz="0" w:space="0" w:color="auto"/>
          </w:divBdr>
        </w:div>
        <w:div w:id="1325353358">
          <w:marLeft w:val="480"/>
          <w:marRight w:val="0"/>
          <w:marTop w:val="0"/>
          <w:marBottom w:val="0"/>
          <w:divBdr>
            <w:top w:val="none" w:sz="0" w:space="0" w:color="auto"/>
            <w:left w:val="none" w:sz="0" w:space="0" w:color="auto"/>
            <w:bottom w:val="none" w:sz="0" w:space="0" w:color="auto"/>
            <w:right w:val="none" w:sz="0" w:space="0" w:color="auto"/>
          </w:divBdr>
        </w:div>
        <w:div w:id="1503474947">
          <w:marLeft w:val="480"/>
          <w:marRight w:val="0"/>
          <w:marTop w:val="0"/>
          <w:marBottom w:val="0"/>
          <w:divBdr>
            <w:top w:val="none" w:sz="0" w:space="0" w:color="auto"/>
            <w:left w:val="none" w:sz="0" w:space="0" w:color="auto"/>
            <w:bottom w:val="none" w:sz="0" w:space="0" w:color="auto"/>
            <w:right w:val="none" w:sz="0" w:space="0" w:color="auto"/>
          </w:divBdr>
        </w:div>
        <w:div w:id="1022048866">
          <w:marLeft w:val="480"/>
          <w:marRight w:val="0"/>
          <w:marTop w:val="0"/>
          <w:marBottom w:val="0"/>
          <w:divBdr>
            <w:top w:val="none" w:sz="0" w:space="0" w:color="auto"/>
            <w:left w:val="none" w:sz="0" w:space="0" w:color="auto"/>
            <w:bottom w:val="none" w:sz="0" w:space="0" w:color="auto"/>
            <w:right w:val="none" w:sz="0" w:space="0" w:color="auto"/>
          </w:divBdr>
        </w:div>
        <w:div w:id="1713967483">
          <w:marLeft w:val="480"/>
          <w:marRight w:val="0"/>
          <w:marTop w:val="0"/>
          <w:marBottom w:val="0"/>
          <w:divBdr>
            <w:top w:val="none" w:sz="0" w:space="0" w:color="auto"/>
            <w:left w:val="none" w:sz="0" w:space="0" w:color="auto"/>
            <w:bottom w:val="none" w:sz="0" w:space="0" w:color="auto"/>
            <w:right w:val="none" w:sz="0" w:space="0" w:color="auto"/>
          </w:divBdr>
        </w:div>
        <w:div w:id="517237430">
          <w:marLeft w:val="480"/>
          <w:marRight w:val="0"/>
          <w:marTop w:val="0"/>
          <w:marBottom w:val="0"/>
          <w:divBdr>
            <w:top w:val="none" w:sz="0" w:space="0" w:color="auto"/>
            <w:left w:val="none" w:sz="0" w:space="0" w:color="auto"/>
            <w:bottom w:val="none" w:sz="0" w:space="0" w:color="auto"/>
            <w:right w:val="none" w:sz="0" w:space="0" w:color="auto"/>
          </w:divBdr>
        </w:div>
        <w:div w:id="2101637925">
          <w:marLeft w:val="480"/>
          <w:marRight w:val="0"/>
          <w:marTop w:val="0"/>
          <w:marBottom w:val="0"/>
          <w:divBdr>
            <w:top w:val="none" w:sz="0" w:space="0" w:color="auto"/>
            <w:left w:val="none" w:sz="0" w:space="0" w:color="auto"/>
            <w:bottom w:val="none" w:sz="0" w:space="0" w:color="auto"/>
            <w:right w:val="none" w:sz="0" w:space="0" w:color="auto"/>
          </w:divBdr>
        </w:div>
        <w:div w:id="208297560">
          <w:marLeft w:val="480"/>
          <w:marRight w:val="0"/>
          <w:marTop w:val="0"/>
          <w:marBottom w:val="0"/>
          <w:divBdr>
            <w:top w:val="none" w:sz="0" w:space="0" w:color="auto"/>
            <w:left w:val="none" w:sz="0" w:space="0" w:color="auto"/>
            <w:bottom w:val="none" w:sz="0" w:space="0" w:color="auto"/>
            <w:right w:val="none" w:sz="0" w:space="0" w:color="auto"/>
          </w:divBdr>
        </w:div>
        <w:div w:id="18312232">
          <w:marLeft w:val="480"/>
          <w:marRight w:val="0"/>
          <w:marTop w:val="0"/>
          <w:marBottom w:val="0"/>
          <w:divBdr>
            <w:top w:val="none" w:sz="0" w:space="0" w:color="auto"/>
            <w:left w:val="none" w:sz="0" w:space="0" w:color="auto"/>
            <w:bottom w:val="none" w:sz="0" w:space="0" w:color="auto"/>
            <w:right w:val="none" w:sz="0" w:space="0" w:color="auto"/>
          </w:divBdr>
        </w:div>
        <w:div w:id="1380738558">
          <w:marLeft w:val="480"/>
          <w:marRight w:val="0"/>
          <w:marTop w:val="0"/>
          <w:marBottom w:val="0"/>
          <w:divBdr>
            <w:top w:val="none" w:sz="0" w:space="0" w:color="auto"/>
            <w:left w:val="none" w:sz="0" w:space="0" w:color="auto"/>
            <w:bottom w:val="none" w:sz="0" w:space="0" w:color="auto"/>
            <w:right w:val="none" w:sz="0" w:space="0" w:color="auto"/>
          </w:divBdr>
        </w:div>
        <w:div w:id="2047829771">
          <w:marLeft w:val="480"/>
          <w:marRight w:val="0"/>
          <w:marTop w:val="0"/>
          <w:marBottom w:val="0"/>
          <w:divBdr>
            <w:top w:val="none" w:sz="0" w:space="0" w:color="auto"/>
            <w:left w:val="none" w:sz="0" w:space="0" w:color="auto"/>
            <w:bottom w:val="none" w:sz="0" w:space="0" w:color="auto"/>
            <w:right w:val="none" w:sz="0" w:space="0" w:color="auto"/>
          </w:divBdr>
        </w:div>
        <w:div w:id="788932334">
          <w:marLeft w:val="480"/>
          <w:marRight w:val="0"/>
          <w:marTop w:val="0"/>
          <w:marBottom w:val="0"/>
          <w:divBdr>
            <w:top w:val="none" w:sz="0" w:space="0" w:color="auto"/>
            <w:left w:val="none" w:sz="0" w:space="0" w:color="auto"/>
            <w:bottom w:val="none" w:sz="0" w:space="0" w:color="auto"/>
            <w:right w:val="none" w:sz="0" w:space="0" w:color="auto"/>
          </w:divBdr>
        </w:div>
        <w:div w:id="46225967">
          <w:marLeft w:val="480"/>
          <w:marRight w:val="0"/>
          <w:marTop w:val="0"/>
          <w:marBottom w:val="0"/>
          <w:divBdr>
            <w:top w:val="none" w:sz="0" w:space="0" w:color="auto"/>
            <w:left w:val="none" w:sz="0" w:space="0" w:color="auto"/>
            <w:bottom w:val="none" w:sz="0" w:space="0" w:color="auto"/>
            <w:right w:val="none" w:sz="0" w:space="0" w:color="auto"/>
          </w:divBdr>
        </w:div>
        <w:div w:id="1322124765">
          <w:marLeft w:val="480"/>
          <w:marRight w:val="0"/>
          <w:marTop w:val="0"/>
          <w:marBottom w:val="0"/>
          <w:divBdr>
            <w:top w:val="none" w:sz="0" w:space="0" w:color="auto"/>
            <w:left w:val="none" w:sz="0" w:space="0" w:color="auto"/>
            <w:bottom w:val="none" w:sz="0" w:space="0" w:color="auto"/>
            <w:right w:val="none" w:sz="0" w:space="0" w:color="auto"/>
          </w:divBdr>
        </w:div>
        <w:div w:id="172842124">
          <w:marLeft w:val="480"/>
          <w:marRight w:val="0"/>
          <w:marTop w:val="0"/>
          <w:marBottom w:val="0"/>
          <w:divBdr>
            <w:top w:val="none" w:sz="0" w:space="0" w:color="auto"/>
            <w:left w:val="none" w:sz="0" w:space="0" w:color="auto"/>
            <w:bottom w:val="none" w:sz="0" w:space="0" w:color="auto"/>
            <w:right w:val="none" w:sz="0" w:space="0" w:color="auto"/>
          </w:divBdr>
        </w:div>
        <w:div w:id="388192306">
          <w:marLeft w:val="480"/>
          <w:marRight w:val="0"/>
          <w:marTop w:val="0"/>
          <w:marBottom w:val="0"/>
          <w:divBdr>
            <w:top w:val="none" w:sz="0" w:space="0" w:color="auto"/>
            <w:left w:val="none" w:sz="0" w:space="0" w:color="auto"/>
            <w:bottom w:val="none" w:sz="0" w:space="0" w:color="auto"/>
            <w:right w:val="none" w:sz="0" w:space="0" w:color="auto"/>
          </w:divBdr>
        </w:div>
        <w:div w:id="343676951">
          <w:marLeft w:val="480"/>
          <w:marRight w:val="0"/>
          <w:marTop w:val="0"/>
          <w:marBottom w:val="0"/>
          <w:divBdr>
            <w:top w:val="none" w:sz="0" w:space="0" w:color="auto"/>
            <w:left w:val="none" w:sz="0" w:space="0" w:color="auto"/>
            <w:bottom w:val="none" w:sz="0" w:space="0" w:color="auto"/>
            <w:right w:val="none" w:sz="0" w:space="0" w:color="auto"/>
          </w:divBdr>
        </w:div>
        <w:div w:id="656344172">
          <w:marLeft w:val="480"/>
          <w:marRight w:val="0"/>
          <w:marTop w:val="0"/>
          <w:marBottom w:val="0"/>
          <w:divBdr>
            <w:top w:val="none" w:sz="0" w:space="0" w:color="auto"/>
            <w:left w:val="none" w:sz="0" w:space="0" w:color="auto"/>
            <w:bottom w:val="none" w:sz="0" w:space="0" w:color="auto"/>
            <w:right w:val="none" w:sz="0" w:space="0" w:color="auto"/>
          </w:divBdr>
        </w:div>
        <w:div w:id="883951887">
          <w:marLeft w:val="480"/>
          <w:marRight w:val="0"/>
          <w:marTop w:val="0"/>
          <w:marBottom w:val="0"/>
          <w:divBdr>
            <w:top w:val="none" w:sz="0" w:space="0" w:color="auto"/>
            <w:left w:val="none" w:sz="0" w:space="0" w:color="auto"/>
            <w:bottom w:val="none" w:sz="0" w:space="0" w:color="auto"/>
            <w:right w:val="none" w:sz="0" w:space="0" w:color="auto"/>
          </w:divBdr>
        </w:div>
        <w:div w:id="441994090">
          <w:marLeft w:val="480"/>
          <w:marRight w:val="0"/>
          <w:marTop w:val="0"/>
          <w:marBottom w:val="0"/>
          <w:divBdr>
            <w:top w:val="none" w:sz="0" w:space="0" w:color="auto"/>
            <w:left w:val="none" w:sz="0" w:space="0" w:color="auto"/>
            <w:bottom w:val="none" w:sz="0" w:space="0" w:color="auto"/>
            <w:right w:val="none" w:sz="0" w:space="0" w:color="auto"/>
          </w:divBdr>
        </w:div>
        <w:div w:id="1276015007">
          <w:marLeft w:val="480"/>
          <w:marRight w:val="0"/>
          <w:marTop w:val="0"/>
          <w:marBottom w:val="0"/>
          <w:divBdr>
            <w:top w:val="none" w:sz="0" w:space="0" w:color="auto"/>
            <w:left w:val="none" w:sz="0" w:space="0" w:color="auto"/>
            <w:bottom w:val="none" w:sz="0" w:space="0" w:color="auto"/>
            <w:right w:val="none" w:sz="0" w:space="0" w:color="auto"/>
          </w:divBdr>
        </w:div>
        <w:div w:id="2050106107">
          <w:marLeft w:val="480"/>
          <w:marRight w:val="0"/>
          <w:marTop w:val="0"/>
          <w:marBottom w:val="0"/>
          <w:divBdr>
            <w:top w:val="none" w:sz="0" w:space="0" w:color="auto"/>
            <w:left w:val="none" w:sz="0" w:space="0" w:color="auto"/>
            <w:bottom w:val="none" w:sz="0" w:space="0" w:color="auto"/>
            <w:right w:val="none" w:sz="0" w:space="0" w:color="auto"/>
          </w:divBdr>
        </w:div>
        <w:div w:id="1997487330">
          <w:marLeft w:val="480"/>
          <w:marRight w:val="0"/>
          <w:marTop w:val="0"/>
          <w:marBottom w:val="0"/>
          <w:divBdr>
            <w:top w:val="none" w:sz="0" w:space="0" w:color="auto"/>
            <w:left w:val="none" w:sz="0" w:space="0" w:color="auto"/>
            <w:bottom w:val="none" w:sz="0" w:space="0" w:color="auto"/>
            <w:right w:val="none" w:sz="0" w:space="0" w:color="auto"/>
          </w:divBdr>
        </w:div>
        <w:div w:id="896621764">
          <w:marLeft w:val="480"/>
          <w:marRight w:val="0"/>
          <w:marTop w:val="0"/>
          <w:marBottom w:val="0"/>
          <w:divBdr>
            <w:top w:val="none" w:sz="0" w:space="0" w:color="auto"/>
            <w:left w:val="none" w:sz="0" w:space="0" w:color="auto"/>
            <w:bottom w:val="none" w:sz="0" w:space="0" w:color="auto"/>
            <w:right w:val="none" w:sz="0" w:space="0" w:color="auto"/>
          </w:divBdr>
        </w:div>
        <w:div w:id="1890069165">
          <w:marLeft w:val="480"/>
          <w:marRight w:val="0"/>
          <w:marTop w:val="0"/>
          <w:marBottom w:val="0"/>
          <w:divBdr>
            <w:top w:val="none" w:sz="0" w:space="0" w:color="auto"/>
            <w:left w:val="none" w:sz="0" w:space="0" w:color="auto"/>
            <w:bottom w:val="none" w:sz="0" w:space="0" w:color="auto"/>
            <w:right w:val="none" w:sz="0" w:space="0" w:color="auto"/>
          </w:divBdr>
        </w:div>
        <w:div w:id="1407799548">
          <w:marLeft w:val="480"/>
          <w:marRight w:val="0"/>
          <w:marTop w:val="0"/>
          <w:marBottom w:val="0"/>
          <w:divBdr>
            <w:top w:val="none" w:sz="0" w:space="0" w:color="auto"/>
            <w:left w:val="none" w:sz="0" w:space="0" w:color="auto"/>
            <w:bottom w:val="none" w:sz="0" w:space="0" w:color="auto"/>
            <w:right w:val="none" w:sz="0" w:space="0" w:color="auto"/>
          </w:divBdr>
        </w:div>
        <w:div w:id="2019038463">
          <w:marLeft w:val="480"/>
          <w:marRight w:val="0"/>
          <w:marTop w:val="0"/>
          <w:marBottom w:val="0"/>
          <w:divBdr>
            <w:top w:val="none" w:sz="0" w:space="0" w:color="auto"/>
            <w:left w:val="none" w:sz="0" w:space="0" w:color="auto"/>
            <w:bottom w:val="none" w:sz="0" w:space="0" w:color="auto"/>
            <w:right w:val="none" w:sz="0" w:space="0" w:color="auto"/>
          </w:divBdr>
        </w:div>
        <w:div w:id="206845153">
          <w:marLeft w:val="480"/>
          <w:marRight w:val="0"/>
          <w:marTop w:val="0"/>
          <w:marBottom w:val="0"/>
          <w:divBdr>
            <w:top w:val="none" w:sz="0" w:space="0" w:color="auto"/>
            <w:left w:val="none" w:sz="0" w:space="0" w:color="auto"/>
            <w:bottom w:val="none" w:sz="0" w:space="0" w:color="auto"/>
            <w:right w:val="none" w:sz="0" w:space="0" w:color="auto"/>
          </w:divBdr>
        </w:div>
        <w:div w:id="809128898">
          <w:marLeft w:val="480"/>
          <w:marRight w:val="0"/>
          <w:marTop w:val="0"/>
          <w:marBottom w:val="0"/>
          <w:divBdr>
            <w:top w:val="none" w:sz="0" w:space="0" w:color="auto"/>
            <w:left w:val="none" w:sz="0" w:space="0" w:color="auto"/>
            <w:bottom w:val="none" w:sz="0" w:space="0" w:color="auto"/>
            <w:right w:val="none" w:sz="0" w:space="0" w:color="auto"/>
          </w:divBdr>
        </w:div>
        <w:div w:id="1721518601">
          <w:marLeft w:val="480"/>
          <w:marRight w:val="0"/>
          <w:marTop w:val="0"/>
          <w:marBottom w:val="0"/>
          <w:divBdr>
            <w:top w:val="none" w:sz="0" w:space="0" w:color="auto"/>
            <w:left w:val="none" w:sz="0" w:space="0" w:color="auto"/>
            <w:bottom w:val="none" w:sz="0" w:space="0" w:color="auto"/>
            <w:right w:val="none" w:sz="0" w:space="0" w:color="auto"/>
          </w:divBdr>
        </w:div>
        <w:div w:id="1504202491">
          <w:marLeft w:val="480"/>
          <w:marRight w:val="0"/>
          <w:marTop w:val="0"/>
          <w:marBottom w:val="0"/>
          <w:divBdr>
            <w:top w:val="none" w:sz="0" w:space="0" w:color="auto"/>
            <w:left w:val="none" w:sz="0" w:space="0" w:color="auto"/>
            <w:bottom w:val="none" w:sz="0" w:space="0" w:color="auto"/>
            <w:right w:val="none" w:sz="0" w:space="0" w:color="auto"/>
          </w:divBdr>
        </w:div>
        <w:div w:id="314651768">
          <w:marLeft w:val="480"/>
          <w:marRight w:val="0"/>
          <w:marTop w:val="0"/>
          <w:marBottom w:val="0"/>
          <w:divBdr>
            <w:top w:val="none" w:sz="0" w:space="0" w:color="auto"/>
            <w:left w:val="none" w:sz="0" w:space="0" w:color="auto"/>
            <w:bottom w:val="none" w:sz="0" w:space="0" w:color="auto"/>
            <w:right w:val="none" w:sz="0" w:space="0" w:color="auto"/>
          </w:divBdr>
        </w:div>
        <w:div w:id="1766682451">
          <w:marLeft w:val="480"/>
          <w:marRight w:val="0"/>
          <w:marTop w:val="0"/>
          <w:marBottom w:val="0"/>
          <w:divBdr>
            <w:top w:val="none" w:sz="0" w:space="0" w:color="auto"/>
            <w:left w:val="none" w:sz="0" w:space="0" w:color="auto"/>
            <w:bottom w:val="none" w:sz="0" w:space="0" w:color="auto"/>
            <w:right w:val="none" w:sz="0" w:space="0" w:color="auto"/>
          </w:divBdr>
        </w:div>
        <w:div w:id="1968975615">
          <w:marLeft w:val="480"/>
          <w:marRight w:val="0"/>
          <w:marTop w:val="0"/>
          <w:marBottom w:val="0"/>
          <w:divBdr>
            <w:top w:val="none" w:sz="0" w:space="0" w:color="auto"/>
            <w:left w:val="none" w:sz="0" w:space="0" w:color="auto"/>
            <w:bottom w:val="none" w:sz="0" w:space="0" w:color="auto"/>
            <w:right w:val="none" w:sz="0" w:space="0" w:color="auto"/>
          </w:divBdr>
        </w:div>
        <w:div w:id="2022270320">
          <w:marLeft w:val="480"/>
          <w:marRight w:val="0"/>
          <w:marTop w:val="0"/>
          <w:marBottom w:val="0"/>
          <w:divBdr>
            <w:top w:val="none" w:sz="0" w:space="0" w:color="auto"/>
            <w:left w:val="none" w:sz="0" w:space="0" w:color="auto"/>
            <w:bottom w:val="none" w:sz="0" w:space="0" w:color="auto"/>
            <w:right w:val="none" w:sz="0" w:space="0" w:color="auto"/>
          </w:divBdr>
        </w:div>
        <w:div w:id="239338771">
          <w:marLeft w:val="480"/>
          <w:marRight w:val="0"/>
          <w:marTop w:val="0"/>
          <w:marBottom w:val="0"/>
          <w:divBdr>
            <w:top w:val="none" w:sz="0" w:space="0" w:color="auto"/>
            <w:left w:val="none" w:sz="0" w:space="0" w:color="auto"/>
            <w:bottom w:val="none" w:sz="0" w:space="0" w:color="auto"/>
            <w:right w:val="none" w:sz="0" w:space="0" w:color="auto"/>
          </w:divBdr>
        </w:div>
        <w:div w:id="833765633">
          <w:marLeft w:val="480"/>
          <w:marRight w:val="0"/>
          <w:marTop w:val="0"/>
          <w:marBottom w:val="0"/>
          <w:divBdr>
            <w:top w:val="none" w:sz="0" w:space="0" w:color="auto"/>
            <w:left w:val="none" w:sz="0" w:space="0" w:color="auto"/>
            <w:bottom w:val="none" w:sz="0" w:space="0" w:color="auto"/>
            <w:right w:val="none" w:sz="0" w:space="0" w:color="auto"/>
          </w:divBdr>
        </w:div>
        <w:div w:id="1601448608">
          <w:marLeft w:val="480"/>
          <w:marRight w:val="0"/>
          <w:marTop w:val="0"/>
          <w:marBottom w:val="0"/>
          <w:divBdr>
            <w:top w:val="none" w:sz="0" w:space="0" w:color="auto"/>
            <w:left w:val="none" w:sz="0" w:space="0" w:color="auto"/>
            <w:bottom w:val="none" w:sz="0" w:space="0" w:color="auto"/>
            <w:right w:val="none" w:sz="0" w:space="0" w:color="auto"/>
          </w:divBdr>
        </w:div>
        <w:div w:id="1198011352">
          <w:marLeft w:val="480"/>
          <w:marRight w:val="0"/>
          <w:marTop w:val="0"/>
          <w:marBottom w:val="0"/>
          <w:divBdr>
            <w:top w:val="none" w:sz="0" w:space="0" w:color="auto"/>
            <w:left w:val="none" w:sz="0" w:space="0" w:color="auto"/>
            <w:bottom w:val="none" w:sz="0" w:space="0" w:color="auto"/>
            <w:right w:val="none" w:sz="0" w:space="0" w:color="auto"/>
          </w:divBdr>
        </w:div>
        <w:div w:id="1954050953">
          <w:marLeft w:val="480"/>
          <w:marRight w:val="0"/>
          <w:marTop w:val="0"/>
          <w:marBottom w:val="0"/>
          <w:divBdr>
            <w:top w:val="none" w:sz="0" w:space="0" w:color="auto"/>
            <w:left w:val="none" w:sz="0" w:space="0" w:color="auto"/>
            <w:bottom w:val="none" w:sz="0" w:space="0" w:color="auto"/>
            <w:right w:val="none" w:sz="0" w:space="0" w:color="auto"/>
          </w:divBdr>
        </w:div>
        <w:div w:id="1935504606">
          <w:marLeft w:val="480"/>
          <w:marRight w:val="0"/>
          <w:marTop w:val="0"/>
          <w:marBottom w:val="0"/>
          <w:divBdr>
            <w:top w:val="none" w:sz="0" w:space="0" w:color="auto"/>
            <w:left w:val="none" w:sz="0" w:space="0" w:color="auto"/>
            <w:bottom w:val="none" w:sz="0" w:space="0" w:color="auto"/>
            <w:right w:val="none" w:sz="0" w:space="0" w:color="auto"/>
          </w:divBdr>
        </w:div>
        <w:div w:id="339087202">
          <w:marLeft w:val="480"/>
          <w:marRight w:val="0"/>
          <w:marTop w:val="0"/>
          <w:marBottom w:val="0"/>
          <w:divBdr>
            <w:top w:val="none" w:sz="0" w:space="0" w:color="auto"/>
            <w:left w:val="none" w:sz="0" w:space="0" w:color="auto"/>
            <w:bottom w:val="none" w:sz="0" w:space="0" w:color="auto"/>
            <w:right w:val="none" w:sz="0" w:space="0" w:color="auto"/>
          </w:divBdr>
        </w:div>
        <w:div w:id="853499666">
          <w:marLeft w:val="480"/>
          <w:marRight w:val="0"/>
          <w:marTop w:val="0"/>
          <w:marBottom w:val="0"/>
          <w:divBdr>
            <w:top w:val="none" w:sz="0" w:space="0" w:color="auto"/>
            <w:left w:val="none" w:sz="0" w:space="0" w:color="auto"/>
            <w:bottom w:val="none" w:sz="0" w:space="0" w:color="auto"/>
            <w:right w:val="none" w:sz="0" w:space="0" w:color="auto"/>
          </w:divBdr>
        </w:div>
        <w:div w:id="1590120601">
          <w:marLeft w:val="480"/>
          <w:marRight w:val="0"/>
          <w:marTop w:val="0"/>
          <w:marBottom w:val="0"/>
          <w:divBdr>
            <w:top w:val="none" w:sz="0" w:space="0" w:color="auto"/>
            <w:left w:val="none" w:sz="0" w:space="0" w:color="auto"/>
            <w:bottom w:val="none" w:sz="0" w:space="0" w:color="auto"/>
            <w:right w:val="none" w:sz="0" w:space="0" w:color="auto"/>
          </w:divBdr>
        </w:div>
        <w:div w:id="359860244">
          <w:marLeft w:val="480"/>
          <w:marRight w:val="0"/>
          <w:marTop w:val="0"/>
          <w:marBottom w:val="0"/>
          <w:divBdr>
            <w:top w:val="none" w:sz="0" w:space="0" w:color="auto"/>
            <w:left w:val="none" w:sz="0" w:space="0" w:color="auto"/>
            <w:bottom w:val="none" w:sz="0" w:space="0" w:color="auto"/>
            <w:right w:val="none" w:sz="0" w:space="0" w:color="auto"/>
          </w:divBdr>
        </w:div>
        <w:div w:id="1666937617">
          <w:marLeft w:val="480"/>
          <w:marRight w:val="0"/>
          <w:marTop w:val="0"/>
          <w:marBottom w:val="0"/>
          <w:divBdr>
            <w:top w:val="none" w:sz="0" w:space="0" w:color="auto"/>
            <w:left w:val="none" w:sz="0" w:space="0" w:color="auto"/>
            <w:bottom w:val="none" w:sz="0" w:space="0" w:color="auto"/>
            <w:right w:val="none" w:sz="0" w:space="0" w:color="auto"/>
          </w:divBdr>
        </w:div>
        <w:div w:id="2131895326">
          <w:marLeft w:val="480"/>
          <w:marRight w:val="0"/>
          <w:marTop w:val="0"/>
          <w:marBottom w:val="0"/>
          <w:divBdr>
            <w:top w:val="none" w:sz="0" w:space="0" w:color="auto"/>
            <w:left w:val="none" w:sz="0" w:space="0" w:color="auto"/>
            <w:bottom w:val="none" w:sz="0" w:space="0" w:color="auto"/>
            <w:right w:val="none" w:sz="0" w:space="0" w:color="auto"/>
          </w:divBdr>
        </w:div>
        <w:div w:id="724765191">
          <w:marLeft w:val="480"/>
          <w:marRight w:val="0"/>
          <w:marTop w:val="0"/>
          <w:marBottom w:val="0"/>
          <w:divBdr>
            <w:top w:val="none" w:sz="0" w:space="0" w:color="auto"/>
            <w:left w:val="none" w:sz="0" w:space="0" w:color="auto"/>
            <w:bottom w:val="none" w:sz="0" w:space="0" w:color="auto"/>
            <w:right w:val="none" w:sz="0" w:space="0" w:color="auto"/>
          </w:divBdr>
        </w:div>
        <w:div w:id="757675655">
          <w:marLeft w:val="480"/>
          <w:marRight w:val="0"/>
          <w:marTop w:val="0"/>
          <w:marBottom w:val="0"/>
          <w:divBdr>
            <w:top w:val="none" w:sz="0" w:space="0" w:color="auto"/>
            <w:left w:val="none" w:sz="0" w:space="0" w:color="auto"/>
            <w:bottom w:val="none" w:sz="0" w:space="0" w:color="auto"/>
            <w:right w:val="none" w:sz="0" w:space="0" w:color="auto"/>
          </w:divBdr>
        </w:div>
        <w:div w:id="1981034342">
          <w:marLeft w:val="480"/>
          <w:marRight w:val="0"/>
          <w:marTop w:val="0"/>
          <w:marBottom w:val="0"/>
          <w:divBdr>
            <w:top w:val="none" w:sz="0" w:space="0" w:color="auto"/>
            <w:left w:val="none" w:sz="0" w:space="0" w:color="auto"/>
            <w:bottom w:val="none" w:sz="0" w:space="0" w:color="auto"/>
            <w:right w:val="none" w:sz="0" w:space="0" w:color="auto"/>
          </w:divBdr>
        </w:div>
        <w:div w:id="62529888">
          <w:marLeft w:val="480"/>
          <w:marRight w:val="0"/>
          <w:marTop w:val="0"/>
          <w:marBottom w:val="0"/>
          <w:divBdr>
            <w:top w:val="none" w:sz="0" w:space="0" w:color="auto"/>
            <w:left w:val="none" w:sz="0" w:space="0" w:color="auto"/>
            <w:bottom w:val="none" w:sz="0" w:space="0" w:color="auto"/>
            <w:right w:val="none" w:sz="0" w:space="0" w:color="auto"/>
          </w:divBdr>
        </w:div>
        <w:div w:id="1877769577">
          <w:marLeft w:val="480"/>
          <w:marRight w:val="0"/>
          <w:marTop w:val="0"/>
          <w:marBottom w:val="0"/>
          <w:divBdr>
            <w:top w:val="none" w:sz="0" w:space="0" w:color="auto"/>
            <w:left w:val="none" w:sz="0" w:space="0" w:color="auto"/>
            <w:bottom w:val="none" w:sz="0" w:space="0" w:color="auto"/>
            <w:right w:val="none" w:sz="0" w:space="0" w:color="auto"/>
          </w:divBdr>
        </w:div>
        <w:div w:id="1565409248">
          <w:marLeft w:val="480"/>
          <w:marRight w:val="0"/>
          <w:marTop w:val="0"/>
          <w:marBottom w:val="0"/>
          <w:divBdr>
            <w:top w:val="none" w:sz="0" w:space="0" w:color="auto"/>
            <w:left w:val="none" w:sz="0" w:space="0" w:color="auto"/>
            <w:bottom w:val="none" w:sz="0" w:space="0" w:color="auto"/>
            <w:right w:val="none" w:sz="0" w:space="0" w:color="auto"/>
          </w:divBdr>
        </w:div>
        <w:div w:id="2109885517">
          <w:marLeft w:val="480"/>
          <w:marRight w:val="0"/>
          <w:marTop w:val="0"/>
          <w:marBottom w:val="0"/>
          <w:divBdr>
            <w:top w:val="none" w:sz="0" w:space="0" w:color="auto"/>
            <w:left w:val="none" w:sz="0" w:space="0" w:color="auto"/>
            <w:bottom w:val="none" w:sz="0" w:space="0" w:color="auto"/>
            <w:right w:val="none" w:sz="0" w:space="0" w:color="auto"/>
          </w:divBdr>
        </w:div>
        <w:div w:id="1087920374">
          <w:marLeft w:val="480"/>
          <w:marRight w:val="0"/>
          <w:marTop w:val="0"/>
          <w:marBottom w:val="0"/>
          <w:divBdr>
            <w:top w:val="none" w:sz="0" w:space="0" w:color="auto"/>
            <w:left w:val="none" w:sz="0" w:space="0" w:color="auto"/>
            <w:bottom w:val="none" w:sz="0" w:space="0" w:color="auto"/>
            <w:right w:val="none" w:sz="0" w:space="0" w:color="auto"/>
          </w:divBdr>
        </w:div>
        <w:div w:id="2107386878">
          <w:marLeft w:val="480"/>
          <w:marRight w:val="0"/>
          <w:marTop w:val="0"/>
          <w:marBottom w:val="0"/>
          <w:divBdr>
            <w:top w:val="none" w:sz="0" w:space="0" w:color="auto"/>
            <w:left w:val="none" w:sz="0" w:space="0" w:color="auto"/>
            <w:bottom w:val="none" w:sz="0" w:space="0" w:color="auto"/>
            <w:right w:val="none" w:sz="0" w:space="0" w:color="auto"/>
          </w:divBdr>
        </w:div>
        <w:div w:id="1388576931">
          <w:marLeft w:val="480"/>
          <w:marRight w:val="0"/>
          <w:marTop w:val="0"/>
          <w:marBottom w:val="0"/>
          <w:divBdr>
            <w:top w:val="none" w:sz="0" w:space="0" w:color="auto"/>
            <w:left w:val="none" w:sz="0" w:space="0" w:color="auto"/>
            <w:bottom w:val="none" w:sz="0" w:space="0" w:color="auto"/>
            <w:right w:val="none" w:sz="0" w:space="0" w:color="auto"/>
          </w:divBdr>
        </w:div>
        <w:div w:id="1655646182">
          <w:marLeft w:val="480"/>
          <w:marRight w:val="0"/>
          <w:marTop w:val="0"/>
          <w:marBottom w:val="0"/>
          <w:divBdr>
            <w:top w:val="none" w:sz="0" w:space="0" w:color="auto"/>
            <w:left w:val="none" w:sz="0" w:space="0" w:color="auto"/>
            <w:bottom w:val="none" w:sz="0" w:space="0" w:color="auto"/>
            <w:right w:val="none" w:sz="0" w:space="0" w:color="auto"/>
          </w:divBdr>
        </w:div>
        <w:div w:id="767777536">
          <w:marLeft w:val="480"/>
          <w:marRight w:val="0"/>
          <w:marTop w:val="0"/>
          <w:marBottom w:val="0"/>
          <w:divBdr>
            <w:top w:val="none" w:sz="0" w:space="0" w:color="auto"/>
            <w:left w:val="none" w:sz="0" w:space="0" w:color="auto"/>
            <w:bottom w:val="none" w:sz="0" w:space="0" w:color="auto"/>
            <w:right w:val="none" w:sz="0" w:space="0" w:color="auto"/>
          </w:divBdr>
        </w:div>
        <w:div w:id="1059665582">
          <w:marLeft w:val="480"/>
          <w:marRight w:val="0"/>
          <w:marTop w:val="0"/>
          <w:marBottom w:val="0"/>
          <w:divBdr>
            <w:top w:val="none" w:sz="0" w:space="0" w:color="auto"/>
            <w:left w:val="none" w:sz="0" w:space="0" w:color="auto"/>
            <w:bottom w:val="none" w:sz="0" w:space="0" w:color="auto"/>
            <w:right w:val="none" w:sz="0" w:space="0" w:color="auto"/>
          </w:divBdr>
        </w:div>
        <w:div w:id="1003584900">
          <w:marLeft w:val="480"/>
          <w:marRight w:val="0"/>
          <w:marTop w:val="0"/>
          <w:marBottom w:val="0"/>
          <w:divBdr>
            <w:top w:val="none" w:sz="0" w:space="0" w:color="auto"/>
            <w:left w:val="none" w:sz="0" w:space="0" w:color="auto"/>
            <w:bottom w:val="none" w:sz="0" w:space="0" w:color="auto"/>
            <w:right w:val="none" w:sz="0" w:space="0" w:color="auto"/>
          </w:divBdr>
        </w:div>
        <w:div w:id="1544830878">
          <w:marLeft w:val="480"/>
          <w:marRight w:val="0"/>
          <w:marTop w:val="0"/>
          <w:marBottom w:val="0"/>
          <w:divBdr>
            <w:top w:val="none" w:sz="0" w:space="0" w:color="auto"/>
            <w:left w:val="none" w:sz="0" w:space="0" w:color="auto"/>
            <w:bottom w:val="none" w:sz="0" w:space="0" w:color="auto"/>
            <w:right w:val="none" w:sz="0" w:space="0" w:color="auto"/>
          </w:divBdr>
        </w:div>
        <w:div w:id="850995908">
          <w:marLeft w:val="480"/>
          <w:marRight w:val="0"/>
          <w:marTop w:val="0"/>
          <w:marBottom w:val="0"/>
          <w:divBdr>
            <w:top w:val="none" w:sz="0" w:space="0" w:color="auto"/>
            <w:left w:val="none" w:sz="0" w:space="0" w:color="auto"/>
            <w:bottom w:val="none" w:sz="0" w:space="0" w:color="auto"/>
            <w:right w:val="none" w:sz="0" w:space="0" w:color="auto"/>
          </w:divBdr>
        </w:div>
        <w:div w:id="967202383">
          <w:marLeft w:val="480"/>
          <w:marRight w:val="0"/>
          <w:marTop w:val="0"/>
          <w:marBottom w:val="0"/>
          <w:divBdr>
            <w:top w:val="none" w:sz="0" w:space="0" w:color="auto"/>
            <w:left w:val="none" w:sz="0" w:space="0" w:color="auto"/>
            <w:bottom w:val="none" w:sz="0" w:space="0" w:color="auto"/>
            <w:right w:val="none" w:sz="0" w:space="0" w:color="auto"/>
          </w:divBdr>
        </w:div>
        <w:div w:id="813448996">
          <w:marLeft w:val="480"/>
          <w:marRight w:val="0"/>
          <w:marTop w:val="0"/>
          <w:marBottom w:val="0"/>
          <w:divBdr>
            <w:top w:val="none" w:sz="0" w:space="0" w:color="auto"/>
            <w:left w:val="none" w:sz="0" w:space="0" w:color="auto"/>
            <w:bottom w:val="none" w:sz="0" w:space="0" w:color="auto"/>
            <w:right w:val="none" w:sz="0" w:space="0" w:color="auto"/>
          </w:divBdr>
        </w:div>
        <w:div w:id="1890917226">
          <w:marLeft w:val="480"/>
          <w:marRight w:val="0"/>
          <w:marTop w:val="0"/>
          <w:marBottom w:val="0"/>
          <w:divBdr>
            <w:top w:val="none" w:sz="0" w:space="0" w:color="auto"/>
            <w:left w:val="none" w:sz="0" w:space="0" w:color="auto"/>
            <w:bottom w:val="none" w:sz="0" w:space="0" w:color="auto"/>
            <w:right w:val="none" w:sz="0" w:space="0" w:color="auto"/>
          </w:divBdr>
        </w:div>
        <w:div w:id="796071282">
          <w:marLeft w:val="480"/>
          <w:marRight w:val="0"/>
          <w:marTop w:val="0"/>
          <w:marBottom w:val="0"/>
          <w:divBdr>
            <w:top w:val="none" w:sz="0" w:space="0" w:color="auto"/>
            <w:left w:val="none" w:sz="0" w:space="0" w:color="auto"/>
            <w:bottom w:val="none" w:sz="0" w:space="0" w:color="auto"/>
            <w:right w:val="none" w:sz="0" w:space="0" w:color="auto"/>
          </w:divBdr>
        </w:div>
        <w:div w:id="1217161982">
          <w:marLeft w:val="480"/>
          <w:marRight w:val="0"/>
          <w:marTop w:val="0"/>
          <w:marBottom w:val="0"/>
          <w:divBdr>
            <w:top w:val="none" w:sz="0" w:space="0" w:color="auto"/>
            <w:left w:val="none" w:sz="0" w:space="0" w:color="auto"/>
            <w:bottom w:val="none" w:sz="0" w:space="0" w:color="auto"/>
            <w:right w:val="none" w:sz="0" w:space="0" w:color="auto"/>
          </w:divBdr>
        </w:div>
        <w:div w:id="1263565481">
          <w:marLeft w:val="480"/>
          <w:marRight w:val="0"/>
          <w:marTop w:val="0"/>
          <w:marBottom w:val="0"/>
          <w:divBdr>
            <w:top w:val="none" w:sz="0" w:space="0" w:color="auto"/>
            <w:left w:val="none" w:sz="0" w:space="0" w:color="auto"/>
            <w:bottom w:val="none" w:sz="0" w:space="0" w:color="auto"/>
            <w:right w:val="none" w:sz="0" w:space="0" w:color="auto"/>
          </w:divBdr>
        </w:div>
        <w:div w:id="1111973419">
          <w:marLeft w:val="480"/>
          <w:marRight w:val="0"/>
          <w:marTop w:val="0"/>
          <w:marBottom w:val="0"/>
          <w:divBdr>
            <w:top w:val="none" w:sz="0" w:space="0" w:color="auto"/>
            <w:left w:val="none" w:sz="0" w:space="0" w:color="auto"/>
            <w:bottom w:val="none" w:sz="0" w:space="0" w:color="auto"/>
            <w:right w:val="none" w:sz="0" w:space="0" w:color="auto"/>
          </w:divBdr>
        </w:div>
        <w:div w:id="893469772">
          <w:marLeft w:val="480"/>
          <w:marRight w:val="0"/>
          <w:marTop w:val="0"/>
          <w:marBottom w:val="0"/>
          <w:divBdr>
            <w:top w:val="none" w:sz="0" w:space="0" w:color="auto"/>
            <w:left w:val="none" w:sz="0" w:space="0" w:color="auto"/>
            <w:bottom w:val="none" w:sz="0" w:space="0" w:color="auto"/>
            <w:right w:val="none" w:sz="0" w:space="0" w:color="auto"/>
          </w:divBdr>
        </w:div>
      </w:divsChild>
    </w:div>
    <w:div w:id="910699458">
      <w:bodyDiv w:val="1"/>
      <w:marLeft w:val="0"/>
      <w:marRight w:val="0"/>
      <w:marTop w:val="0"/>
      <w:marBottom w:val="0"/>
      <w:divBdr>
        <w:top w:val="none" w:sz="0" w:space="0" w:color="auto"/>
        <w:left w:val="none" w:sz="0" w:space="0" w:color="auto"/>
        <w:bottom w:val="none" w:sz="0" w:space="0" w:color="auto"/>
        <w:right w:val="none" w:sz="0" w:space="0" w:color="auto"/>
      </w:divBdr>
    </w:div>
    <w:div w:id="1122336012">
      <w:bodyDiv w:val="1"/>
      <w:marLeft w:val="0"/>
      <w:marRight w:val="0"/>
      <w:marTop w:val="0"/>
      <w:marBottom w:val="0"/>
      <w:divBdr>
        <w:top w:val="none" w:sz="0" w:space="0" w:color="auto"/>
        <w:left w:val="none" w:sz="0" w:space="0" w:color="auto"/>
        <w:bottom w:val="none" w:sz="0" w:space="0" w:color="auto"/>
        <w:right w:val="none" w:sz="0" w:space="0" w:color="auto"/>
      </w:divBdr>
    </w:div>
    <w:div w:id="1250115998">
      <w:bodyDiv w:val="1"/>
      <w:marLeft w:val="0"/>
      <w:marRight w:val="0"/>
      <w:marTop w:val="0"/>
      <w:marBottom w:val="0"/>
      <w:divBdr>
        <w:top w:val="none" w:sz="0" w:space="0" w:color="auto"/>
        <w:left w:val="none" w:sz="0" w:space="0" w:color="auto"/>
        <w:bottom w:val="none" w:sz="0" w:space="0" w:color="auto"/>
        <w:right w:val="none" w:sz="0" w:space="0" w:color="auto"/>
      </w:divBdr>
      <w:divsChild>
        <w:div w:id="985277071">
          <w:marLeft w:val="480"/>
          <w:marRight w:val="0"/>
          <w:marTop w:val="0"/>
          <w:marBottom w:val="0"/>
          <w:divBdr>
            <w:top w:val="none" w:sz="0" w:space="0" w:color="auto"/>
            <w:left w:val="none" w:sz="0" w:space="0" w:color="auto"/>
            <w:bottom w:val="none" w:sz="0" w:space="0" w:color="auto"/>
            <w:right w:val="none" w:sz="0" w:space="0" w:color="auto"/>
          </w:divBdr>
        </w:div>
        <w:div w:id="1218396515">
          <w:marLeft w:val="480"/>
          <w:marRight w:val="0"/>
          <w:marTop w:val="0"/>
          <w:marBottom w:val="0"/>
          <w:divBdr>
            <w:top w:val="none" w:sz="0" w:space="0" w:color="auto"/>
            <w:left w:val="none" w:sz="0" w:space="0" w:color="auto"/>
            <w:bottom w:val="none" w:sz="0" w:space="0" w:color="auto"/>
            <w:right w:val="none" w:sz="0" w:space="0" w:color="auto"/>
          </w:divBdr>
        </w:div>
        <w:div w:id="536814904">
          <w:marLeft w:val="480"/>
          <w:marRight w:val="0"/>
          <w:marTop w:val="0"/>
          <w:marBottom w:val="0"/>
          <w:divBdr>
            <w:top w:val="none" w:sz="0" w:space="0" w:color="auto"/>
            <w:left w:val="none" w:sz="0" w:space="0" w:color="auto"/>
            <w:bottom w:val="none" w:sz="0" w:space="0" w:color="auto"/>
            <w:right w:val="none" w:sz="0" w:space="0" w:color="auto"/>
          </w:divBdr>
        </w:div>
        <w:div w:id="1877693517">
          <w:marLeft w:val="480"/>
          <w:marRight w:val="0"/>
          <w:marTop w:val="0"/>
          <w:marBottom w:val="0"/>
          <w:divBdr>
            <w:top w:val="none" w:sz="0" w:space="0" w:color="auto"/>
            <w:left w:val="none" w:sz="0" w:space="0" w:color="auto"/>
            <w:bottom w:val="none" w:sz="0" w:space="0" w:color="auto"/>
            <w:right w:val="none" w:sz="0" w:space="0" w:color="auto"/>
          </w:divBdr>
        </w:div>
        <w:div w:id="495272145">
          <w:marLeft w:val="480"/>
          <w:marRight w:val="0"/>
          <w:marTop w:val="0"/>
          <w:marBottom w:val="0"/>
          <w:divBdr>
            <w:top w:val="none" w:sz="0" w:space="0" w:color="auto"/>
            <w:left w:val="none" w:sz="0" w:space="0" w:color="auto"/>
            <w:bottom w:val="none" w:sz="0" w:space="0" w:color="auto"/>
            <w:right w:val="none" w:sz="0" w:space="0" w:color="auto"/>
          </w:divBdr>
        </w:div>
        <w:div w:id="644703217">
          <w:marLeft w:val="480"/>
          <w:marRight w:val="0"/>
          <w:marTop w:val="0"/>
          <w:marBottom w:val="0"/>
          <w:divBdr>
            <w:top w:val="none" w:sz="0" w:space="0" w:color="auto"/>
            <w:left w:val="none" w:sz="0" w:space="0" w:color="auto"/>
            <w:bottom w:val="none" w:sz="0" w:space="0" w:color="auto"/>
            <w:right w:val="none" w:sz="0" w:space="0" w:color="auto"/>
          </w:divBdr>
        </w:div>
        <w:div w:id="1074745593">
          <w:marLeft w:val="480"/>
          <w:marRight w:val="0"/>
          <w:marTop w:val="0"/>
          <w:marBottom w:val="0"/>
          <w:divBdr>
            <w:top w:val="none" w:sz="0" w:space="0" w:color="auto"/>
            <w:left w:val="none" w:sz="0" w:space="0" w:color="auto"/>
            <w:bottom w:val="none" w:sz="0" w:space="0" w:color="auto"/>
            <w:right w:val="none" w:sz="0" w:space="0" w:color="auto"/>
          </w:divBdr>
        </w:div>
        <w:div w:id="113716636">
          <w:marLeft w:val="480"/>
          <w:marRight w:val="0"/>
          <w:marTop w:val="0"/>
          <w:marBottom w:val="0"/>
          <w:divBdr>
            <w:top w:val="none" w:sz="0" w:space="0" w:color="auto"/>
            <w:left w:val="none" w:sz="0" w:space="0" w:color="auto"/>
            <w:bottom w:val="none" w:sz="0" w:space="0" w:color="auto"/>
            <w:right w:val="none" w:sz="0" w:space="0" w:color="auto"/>
          </w:divBdr>
        </w:div>
        <w:div w:id="1289167487">
          <w:marLeft w:val="480"/>
          <w:marRight w:val="0"/>
          <w:marTop w:val="0"/>
          <w:marBottom w:val="0"/>
          <w:divBdr>
            <w:top w:val="none" w:sz="0" w:space="0" w:color="auto"/>
            <w:left w:val="none" w:sz="0" w:space="0" w:color="auto"/>
            <w:bottom w:val="none" w:sz="0" w:space="0" w:color="auto"/>
            <w:right w:val="none" w:sz="0" w:space="0" w:color="auto"/>
          </w:divBdr>
        </w:div>
        <w:div w:id="1850292056">
          <w:marLeft w:val="480"/>
          <w:marRight w:val="0"/>
          <w:marTop w:val="0"/>
          <w:marBottom w:val="0"/>
          <w:divBdr>
            <w:top w:val="none" w:sz="0" w:space="0" w:color="auto"/>
            <w:left w:val="none" w:sz="0" w:space="0" w:color="auto"/>
            <w:bottom w:val="none" w:sz="0" w:space="0" w:color="auto"/>
            <w:right w:val="none" w:sz="0" w:space="0" w:color="auto"/>
          </w:divBdr>
        </w:div>
        <w:div w:id="1088237507">
          <w:marLeft w:val="480"/>
          <w:marRight w:val="0"/>
          <w:marTop w:val="0"/>
          <w:marBottom w:val="0"/>
          <w:divBdr>
            <w:top w:val="none" w:sz="0" w:space="0" w:color="auto"/>
            <w:left w:val="none" w:sz="0" w:space="0" w:color="auto"/>
            <w:bottom w:val="none" w:sz="0" w:space="0" w:color="auto"/>
            <w:right w:val="none" w:sz="0" w:space="0" w:color="auto"/>
          </w:divBdr>
        </w:div>
        <w:div w:id="1711998961">
          <w:marLeft w:val="480"/>
          <w:marRight w:val="0"/>
          <w:marTop w:val="0"/>
          <w:marBottom w:val="0"/>
          <w:divBdr>
            <w:top w:val="none" w:sz="0" w:space="0" w:color="auto"/>
            <w:left w:val="none" w:sz="0" w:space="0" w:color="auto"/>
            <w:bottom w:val="none" w:sz="0" w:space="0" w:color="auto"/>
            <w:right w:val="none" w:sz="0" w:space="0" w:color="auto"/>
          </w:divBdr>
        </w:div>
        <w:div w:id="1033842733">
          <w:marLeft w:val="480"/>
          <w:marRight w:val="0"/>
          <w:marTop w:val="0"/>
          <w:marBottom w:val="0"/>
          <w:divBdr>
            <w:top w:val="none" w:sz="0" w:space="0" w:color="auto"/>
            <w:left w:val="none" w:sz="0" w:space="0" w:color="auto"/>
            <w:bottom w:val="none" w:sz="0" w:space="0" w:color="auto"/>
            <w:right w:val="none" w:sz="0" w:space="0" w:color="auto"/>
          </w:divBdr>
        </w:div>
        <w:div w:id="1241406854">
          <w:marLeft w:val="480"/>
          <w:marRight w:val="0"/>
          <w:marTop w:val="0"/>
          <w:marBottom w:val="0"/>
          <w:divBdr>
            <w:top w:val="none" w:sz="0" w:space="0" w:color="auto"/>
            <w:left w:val="none" w:sz="0" w:space="0" w:color="auto"/>
            <w:bottom w:val="none" w:sz="0" w:space="0" w:color="auto"/>
            <w:right w:val="none" w:sz="0" w:space="0" w:color="auto"/>
          </w:divBdr>
        </w:div>
        <w:div w:id="2011328256">
          <w:marLeft w:val="480"/>
          <w:marRight w:val="0"/>
          <w:marTop w:val="0"/>
          <w:marBottom w:val="0"/>
          <w:divBdr>
            <w:top w:val="none" w:sz="0" w:space="0" w:color="auto"/>
            <w:left w:val="none" w:sz="0" w:space="0" w:color="auto"/>
            <w:bottom w:val="none" w:sz="0" w:space="0" w:color="auto"/>
            <w:right w:val="none" w:sz="0" w:space="0" w:color="auto"/>
          </w:divBdr>
        </w:div>
        <w:div w:id="1850294084">
          <w:marLeft w:val="480"/>
          <w:marRight w:val="0"/>
          <w:marTop w:val="0"/>
          <w:marBottom w:val="0"/>
          <w:divBdr>
            <w:top w:val="none" w:sz="0" w:space="0" w:color="auto"/>
            <w:left w:val="none" w:sz="0" w:space="0" w:color="auto"/>
            <w:bottom w:val="none" w:sz="0" w:space="0" w:color="auto"/>
            <w:right w:val="none" w:sz="0" w:space="0" w:color="auto"/>
          </w:divBdr>
        </w:div>
        <w:div w:id="963080180">
          <w:marLeft w:val="480"/>
          <w:marRight w:val="0"/>
          <w:marTop w:val="0"/>
          <w:marBottom w:val="0"/>
          <w:divBdr>
            <w:top w:val="none" w:sz="0" w:space="0" w:color="auto"/>
            <w:left w:val="none" w:sz="0" w:space="0" w:color="auto"/>
            <w:bottom w:val="none" w:sz="0" w:space="0" w:color="auto"/>
            <w:right w:val="none" w:sz="0" w:space="0" w:color="auto"/>
          </w:divBdr>
        </w:div>
        <w:div w:id="215047684">
          <w:marLeft w:val="480"/>
          <w:marRight w:val="0"/>
          <w:marTop w:val="0"/>
          <w:marBottom w:val="0"/>
          <w:divBdr>
            <w:top w:val="none" w:sz="0" w:space="0" w:color="auto"/>
            <w:left w:val="none" w:sz="0" w:space="0" w:color="auto"/>
            <w:bottom w:val="none" w:sz="0" w:space="0" w:color="auto"/>
            <w:right w:val="none" w:sz="0" w:space="0" w:color="auto"/>
          </w:divBdr>
        </w:div>
        <w:div w:id="1658340479">
          <w:marLeft w:val="480"/>
          <w:marRight w:val="0"/>
          <w:marTop w:val="0"/>
          <w:marBottom w:val="0"/>
          <w:divBdr>
            <w:top w:val="none" w:sz="0" w:space="0" w:color="auto"/>
            <w:left w:val="none" w:sz="0" w:space="0" w:color="auto"/>
            <w:bottom w:val="none" w:sz="0" w:space="0" w:color="auto"/>
            <w:right w:val="none" w:sz="0" w:space="0" w:color="auto"/>
          </w:divBdr>
        </w:div>
        <w:div w:id="1645700227">
          <w:marLeft w:val="480"/>
          <w:marRight w:val="0"/>
          <w:marTop w:val="0"/>
          <w:marBottom w:val="0"/>
          <w:divBdr>
            <w:top w:val="none" w:sz="0" w:space="0" w:color="auto"/>
            <w:left w:val="none" w:sz="0" w:space="0" w:color="auto"/>
            <w:bottom w:val="none" w:sz="0" w:space="0" w:color="auto"/>
            <w:right w:val="none" w:sz="0" w:space="0" w:color="auto"/>
          </w:divBdr>
        </w:div>
        <w:div w:id="430928315">
          <w:marLeft w:val="480"/>
          <w:marRight w:val="0"/>
          <w:marTop w:val="0"/>
          <w:marBottom w:val="0"/>
          <w:divBdr>
            <w:top w:val="none" w:sz="0" w:space="0" w:color="auto"/>
            <w:left w:val="none" w:sz="0" w:space="0" w:color="auto"/>
            <w:bottom w:val="none" w:sz="0" w:space="0" w:color="auto"/>
            <w:right w:val="none" w:sz="0" w:space="0" w:color="auto"/>
          </w:divBdr>
        </w:div>
        <w:div w:id="735471948">
          <w:marLeft w:val="480"/>
          <w:marRight w:val="0"/>
          <w:marTop w:val="0"/>
          <w:marBottom w:val="0"/>
          <w:divBdr>
            <w:top w:val="none" w:sz="0" w:space="0" w:color="auto"/>
            <w:left w:val="none" w:sz="0" w:space="0" w:color="auto"/>
            <w:bottom w:val="none" w:sz="0" w:space="0" w:color="auto"/>
            <w:right w:val="none" w:sz="0" w:space="0" w:color="auto"/>
          </w:divBdr>
        </w:div>
        <w:div w:id="1054159049">
          <w:marLeft w:val="480"/>
          <w:marRight w:val="0"/>
          <w:marTop w:val="0"/>
          <w:marBottom w:val="0"/>
          <w:divBdr>
            <w:top w:val="none" w:sz="0" w:space="0" w:color="auto"/>
            <w:left w:val="none" w:sz="0" w:space="0" w:color="auto"/>
            <w:bottom w:val="none" w:sz="0" w:space="0" w:color="auto"/>
            <w:right w:val="none" w:sz="0" w:space="0" w:color="auto"/>
          </w:divBdr>
        </w:div>
        <w:div w:id="434784947">
          <w:marLeft w:val="480"/>
          <w:marRight w:val="0"/>
          <w:marTop w:val="0"/>
          <w:marBottom w:val="0"/>
          <w:divBdr>
            <w:top w:val="none" w:sz="0" w:space="0" w:color="auto"/>
            <w:left w:val="none" w:sz="0" w:space="0" w:color="auto"/>
            <w:bottom w:val="none" w:sz="0" w:space="0" w:color="auto"/>
            <w:right w:val="none" w:sz="0" w:space="0" w:color="auto"/>
          </w:divBdr>
        </w:div>
        <w:div w:id="1517690376">
          <w:marLeft w:val="480"/>
          <w:marRight w:val="0"/>
          <w:marTop w:val="0"/>
          <w:marBottom w:val="0"/>
          <w:divBdr>
            <w:top w:val="none" w:sz="0" w:space="0" w:color="auto"/>
            <w:left w:val="none" w:sz="0" w:space="0" w:color="auto"/>
            <w:bottom w:val="none" w:sz="0" w:space="0" w:color="auto"/>
            <w:right w:val="none" w:sz="0" w:space="0" w:color="auto"/>
          </w:divBdr>
        </w:div>
        <w:div w:id="554777363">
          <w:marLeft w:val="480"/>
          <w:marRight w:val="0"/>
          <w:marTop w:val="0"/>
          <w:marBottom w:val="0"/>
          <w:divBdr>
            <w:top w:val="none" w:sz="0" w:space="0" w:color="auto"/>
            <w:left w:val="none" w:sz="0" w:space="0" w:color="auto"/>
            <w:bottom w:val="none" w:sz="0" w:space="0" w:color="auto"/>
            <w:right w:val="none" w:sz="0" w:space="0" w:color="auto"/>
          </w:divBdr>
        </w:div>
        <w:div w:id="1900287740">
          <w:marLeft w:val="480"/>
          <w:marRight w:val="0"/>
          <w:marTop w:val="0"/>
          <w:marBottom w:val="0"/>
          <w:divBdr>
            <w:top w:val="none" w:sz="0" w:space="0" w:color="auto"/>
            <w:left w:val="none" w:sz="0" w:space="0" w:color="auto"/>
            <w:bottom w:val="none" w:sz="0" w:space="0" w:color="auto"/>
            <w:right w:val="none" w:sz="0" w:space="0" w:color="auto"/>
          </w:divBdr>
        </w:div>
        <w:div w:id="1161769799">
          <w:marLeft w:val="480"/>
          <w:marRight w:val="0"/>
          <w:marTop w:val="0"/>
          <w:marBottom w:val="0"/>
          <w:divBdr>
            <w:top w:val="none" w:sz="0" w:space="0" w:color="auto"/>
            <w:left w:val="none" w:sz="0" w:space="0" w:color="auto"/>
            <w:bottom w:val="none" w:sz="0" w:space="0" w:color="auto"/>
            <w:right w:val="none" w:sz="0" w:space="0" w:color="auto"/>
          </w:divBdr>
        </w:div>
        <w:div w:id="1080249959">
          <w:marLeft w:val="480"/>
          <w:marRight w:val="0"/>
          <w:marTop w:val="0"/>
          <w:marBottom w:val="0"/>
          <w:divBdr>
            <w:top w:val="none" w:sz="0" w:space="0" w:color="auto"/>
            <w:left w:val="none" w:sz="0" w:space="0" w:color="auto"/>
            <w:bottom w:val="none" w:sz="0" w:space="0" w:color="auto"/>
            <w:right w:val="none" w:sz="0" w:space="0" w:color="auto"/>
          </w:divBdr>
        </w:div>
        <w:div w:id="1944148753">
          <w:marLeft w:val="480"/>
          <w:marRight w:val="0"/>
          <w:marTop w:val="0"/>
          <w:marBottom w:val="0"/>
          <w:divBdr>
            <w:top w:val="none" w:sz="0" w:space="0" w:color="auto"/>
            <w:left w:val="none" w:sz="0" w:space="0" w:color="auto"/>
            <w:bottom w:val="none" w:sz="0" w:space="0" w:color="auto"/>
            <w:right w:val="none" w:sz="0" w:space="0" w:color="auto"/>
          </w:divBdr>
        </w:div>
        <w:div w:id="880942849">
          <w:marLeft w:val="480"/>
          <w:marRight w:val="0"/>
          <w:marTop w:val="0"/>
          <w:marBottom w:val="0"/>
          <w:divBdr>
            <w:top w:val="none" w:sz="0" w:space="0" w:color="auto"/>
            <w:left w:val="none" w:sz="0" w:space="0" w:color="auto"/>
            <w:bottom w:val="none" w:sz="0" w:space="0" w:color="auto"/>
            <w:right w:val="none" w:sz="0" w:space="0" w:color="auto"/>
          </w:divBdr>
        </w:div>
        <w:div w:id="8719719">
          <w:marLeft w:val="480"/>
          <w:marRight w:val="0"/>
          <w:marTop w:val="0"/>
          <w:marBottom w:val="0"/>
          <w:divBdr>
            <w:top w:val="none" w:sz="0" w:space="0" w:color="auto"/>
            <w:left w:val="none" w:sz="0" w:space="0" w:color="auto"/>
            <w:bottom w:val="none" w:sz="0" w:space="0" w:color="auto"/>
            <w:right w:val="none" w:sz="0" w:space="0" w:color="auto"/>
          </w:divBdr>
        </w:div>
        <w:div w:id="809320077">
          <w:marLeft w:val="480"/>
          <w:marRight w:val="0"/>
          <w:marTop w:val="0"/>
          <w:marBottom w:val="0"/>
          <w:divBdr>
            <w:top w:val="none" w:sz="0" w:space="0" w:color="auto"/>
            <w:left w:val="none" w:sz="0" w:space="0" w:color="auto"/>
            <w:bottom w:val="none" w:sz="0" w:space="0" w:color="auto"/>
            <w:right w:val="none" w:sz="0" w:space="0" w:color="auto"/>
          </w:divBdr>
        </w:div>
        <w:div w:id="1139231041">
          <w:marLeft w:val="480"/>
          <w:marRight w:val="0"/>
          <w:marTop w:val="0"/>
          <w:marBottom w:val="0"/>
          <w:divBdr>
            <w:top w:val="none" w:sz="0" w:space="0" w:color="auto"/>
            <w:left w:val="none" w:sz="0" w:space="0" w:color="auto"/>
            <w:bottom w:val="none" w:sz="0" w:space="0" w:color="auto"/>
            <w:right w:val="none" w:sz="0" w:space="0" w:color="auto"/>
          </w:divBdr>
        </w:div>
        <w:div w:id="1640960069">
          <w:marLeft w:val="480"/>
          <w:marRight w:val="0"/>
          <w:marTop w:val="0"/>
          <w:marBottom w:val="0"/>
          <w:divBdr>
            <w:top w:val="none" w:sz="0" w:space="0" w:color="auto"/>
            <w:left w:val="none" w:sz="0" w:space="0" w:color="auto"/>
            <w:bottom w:val="none" w:sz="0" w:space="0" w:color="auto"/>
            <w:right w:val="none" w:sz="0" w:space="0" w:color="auto"/>
          </w:divBdr>
        </w:div>
        <w:div w:id="971790642">
          <w:marLeft w:val="480"/>
          <w:marRight w:val="0"/>
          <w:marTop w:val="0"/>
          <w:marBottom w:val="0"/>
          <w:divBdr>
            <w:top w:val="none" w:sz="0" w:space="0" w:color="auto"/>
            <w:left w:val="none" w:sz="0" w:space="0" w:color="auto"/>
            <w:bottom w:val="none" w:sz="0" w:space="0" w:color="auto"/>
            <w:right w:val="none" w:sz="0" w:space="0" w:color="auto"/>
          </w:divBdr>
        </w:div>
        <w:div w:id="2040812316">
          <w:marLeft w:val="480"/>
          <w:marRight w:val="0"/>
          <w:marTop w:val="0"/>
          <w:marBottom w:val="0"/>
          <w:divBdr>
            <w:top w:val="none" w:sz="0" w:space="0" w:color="auto"/>
            <w:left w:val="none" w:sz="0" w:space="0" w:color="auto"/>
            <w:bottom w:val="none" w:sz="0" w:space="0" w:color="auto"/>
            <w:right w:val="none" w:sz="0" w:space="0" w:color="auto"/>
          </w:divBdr>
        </w:div>
        <w:div w:id="2072344846">
          <w:marLeft w:val="480"/>
          <w:marRight w:val="0"/>
          <w:marTop w:val="0"/>
          <w:marBottom w:val="0"/>
          <w:divBdr>
            <w:top w:val="none" w:sz="0" w:space="0" w:color="auto"/>
            <w:left w:val="none" w:sz="0" w:space="0" w:color="auto"/>
            <w:bottom w:val="none" w:sz="0" w:space="0" w:color="auto"/>
            <w:right w:val="none" w:sz="0" w:space="0" w:color="auto"/>
          </w:divBdr>
        </w:div>
        <w:div w:id="1039741928">
          <w:marLeft w:val="480"/>
          <w:marRight w:val="0"/>
          <w:marTop w:val="0"/>
          <w:marBottom w:val="0"/>
          <w:divBdr>
            <w:top w:val="none" w:sz="0" w:space="0" w:color="auto"/>
            <w:left w:val="none" w:sz="0" w:space="0" w:color="auto"/>
            <w:bottom w:val="none" w:sz="0" w:space="0" w:color="auto"/>
            <w:right w:val="none" w:sz="0" w:space="0" w:color="auto"/>
          </w:divBdr>
        </w:div>
        <w:div w:id="1872186891">
          <w:marLeft w:val="480"/>
          <w:marRight w:val="0"/>
          <w:marTop w:val="0"/>
          <w:marBottom w:val="0"/>
          <w:divBdr>
            <w:top w:val="none" w:sz="0" w:space="0" w:color="auto"/>
            <w:left w:val="none" w:sz="0" w:space="0" w:color="auto"/>
            <w:bottom w:val="none" w:sz="0" w:space="0" w:color="auto"/>
            <w:right w:val="none" w:sz="0" w:space="0" w:color="auto"/>
          </w:divBdr>
        </w:div>
        <w:div w:id="250506595">
          <w:marLeft w:val="480"/>
          <w:marRight w:val="0"/>
          <w:marTop w:val="0"/>
          <w:marBottom w:val="0"/>
          <w:divBdr>
            <w:top w:val="none" w:sz="0" w:space="0" w:color="auto"/>
            <w:left w:val="none" w:sz="0" w:space="0" w:color="auto"/>
            <w:bottom w:val="none" w:sz="0" w:space="0" w:color="auto"/>
            <w:right w:val="none" w:sz="0" w:space="0" w:color="auto"/>
          </w:divBdr>
        </w:div>
        <w:div w:id="603616657">
          <w:marLeft w:val="480"/>
          <w:marRight w:val="0"/>
          <w:marTop w:val="0"/>
          <w:marBottom w:val="0"/>
          <w:divBdr>
            <w:top w:val="none" w:sz="0" w:space="0" w:color="auto"/>
            <w:left w:val="none" w:sz="0" w:space="0" w:color="auto"/>
            <w:bottom w:val="none" w:sz="0" w:space="0" w:color="auto"/>
            <w:right w:val="none" w:sz="0" w:space="0" w:color="auto"/>
          </w:divBdr>
        </w:div>
        <w:div w:id="1865167640">
          <w:marLeft w:val="480"/>
          <w:marRight w:val="0"/>
          <w:marTop w:val="0"/>
          <w:marBottom w:val="0"/>
          <w:divBdr>
            <w:top w:val="none" w:sz="0" w:space="0" w:color="auto"/>
            <w:left w:val="none" w:sz="0" w:space="0" w:color="auto"/>
            <w:bottom w:val="none" w:sz="0" w:space="0" w:color="auto"/>
            <w:right w:val="none" w:sz="0" w:space="0" w:color="auto"/>
          </w:divBdr>
        </w:div>
        <w:div w:id="620772220">
          <w:marLeft w:val="480"/>
          <w:marRight w:val="0"/>
          <w:marTop w:val="0"/>
          <w:marBottom w:val="0"/>
          <w:divBdr>
            <w:top w:val="none" w:sz="0" w:space="0" w:color="auto"/>
            <w:left w:val="none" w:sz="0" w:space="0" w:color="auto"/>
            <w:bottom w:val="none" w:sz="0" w:space="0" w:color="auto"/>
            <w:right w:val="none" w:sz="0" w:space="0" w:color="auto"/>
          </w:divBdr>
        </w:div>
        <w:div w:id="489953197">
          <w:marLeft w:val="480"/>
          <w:marRight w:val="0"/>
          <w:marTop w:val="0"/>
          <w:marBottom w:val="0"/>
          <w:divBdr>
            <w:top w:val="none" w:sz="0" w:space="0" w:color="auto"/>
            <w:left w:val="none" w:sz="0" w:space="0" w:color="auto"/>
            <w:bottom w:val="none" w:sz="0" w:space="0" w:color="auto"/>
            <w:right w:val="none" w:sz="0" w:space="0" w:color="auto"/>
          </w:divBdr>
        </w:div>
        <w:div w:id="1747921506">
          <w:marLeft w:val="480"/>
          <w:marRight w:val="0"/>
          <w:marTop w:val="0"/>
          <w:marBottom w:val="0"/>
          <w:divBdr>
            <w:top w:val="none" w:sz="0" w:space="0" w:color="auto"/>
            <w:left w:val="none" w:sz="0" w:space="0" w:color="auto"/>
            <w:bottom w:val="none" w:sz="0" w:space="0" w:color="auto"/>
            <w:right w:val="none" w:sz="0" w:space="0" w:color="auto"/>
          </w:divBdr>
        </w:div>
        <w:div w:id="2121682963">
          <w:marLeft w:val="480"/>
          <w:marRight w:val="0"/>
          <w:marTop w:val="0"/>
          <w:marBottom w:val="0"/>
          <w:divBdr>
            <w:top w:val="none" w:sz="0" w:space="0" w:color="auto"/>
            <w:left w:val="none" w:sz="0" w:space="0" w:color="auto"/>
            <w:bottom w:val="none" w:sz="0" w:space="0" w:color="auto"/>
            <w:right w:val="none" w:sz="0" w:space="0" w:color="auto"/>
          </w:divBdr>
        </w:div>
        <w:div w:id="77556453">
          <w:marLeft w:val="480"/>
          <w:marRight w:val="0"/>
          <w:marTop w:val="0"/>
          <w:marBottom w:val="0"/>
          <w:divBdr>
            <w:top w:val="none" w:sz="0" w:space="0" w:color="auto"/>
            <w:left w:val="none" w:sz="0" w:space="0" w:color="auto"/>
            <w:bottom w:val="none" w:sz="0" w:space="0" w:color="auto"/>
            <w:right w:val="none" w:sz="0" w:space="0" w:color="auto"/>
          </w:divBdr>
        </w:div>
        <w:div w:id="90783652">
          <w:marLeft w:val="480"/>
          <w:marRight w:val="0"/>
          <w:marTop w:val="0"/>
          <w:marBottom w:val="0"/>
          <w:divBdr>
            <w:top w:val="none" w:sz="0" w:space="0" w:color="auto"/>
            <w:left w:val="none" w:sz="0" w:space="0" w:color="auto"/>
            <w:bottom w:val="none" w:sz="0" w:space="0" w:color="auto"/>
            <w:right w:val="none" w:sz="0" w:space="0" w:color="auto"/>
          </w:divBdr>
        </w:div>
        <w:div w:id="250748317">
          <w:marLeft w:val="480"/>
          <w:marRight w:val="0"/>
          <w:marTop w:val="0"/>
          <w:marBottom w:val="0"/>
          <w:divBdr>
            <w:top w:val="none" w:sz="0" w:space="0" w:color="auto"/>
            <w:left w:val="none" w:sz="0" w:space="0" w:color="auto"/>
            <w:bottom w:val="none" w:sz="0" w:space="0" w:color="auto"/>
            <w:right w:val="none" w:sz="0" w:space="0" w:color="auto"/>
          </w:divBdr>
        </w:div>
        <w:div w:id="669985760">
          <w:marLeft w:val="480"/>
          <w:marRight w:val="0"/>
          <w:marTop w:val="0"/>
          <w:marBottom w:val="0"/>
          <w:divBdr>
            <w:top w:val="none" w:sz="0" w:space="0" w:color="auto"/>
            <w:left w:val="none" w:sz="0" w:space="0" w:color="auto"/>
            <w:bottom w:val="none" w:sz="0" w:space="0" w:color="auto"/>
            <w:right w:val="none" w:sz="0" w:space="0" w:color="auto"/>
          </w:divBdr>
        </w:div>
        <w:div w:id="1053820254">
          <w:marLeft w:val="480"/>
          <w:marRight w:val="0"/>
          <w:marTop w:val="0"/>
          <w:marBottom w:val="0"/>
          <w:divBdr>
            <w:top w:val="none" w:sz="0" w:space="0" w:color="auto"/>
            <w:left w:val="none" w:sz="0" w:space="0" w:color="auto"/>
            <w:bottom w:val="none" w:sz="0" w:space="0" w:color="auto"/>
            <w:right w:val="none" w:sz="0" w:space="0" w:color="auto"/>
          </w:divBdr>
        </w:div>
        <w:div w:id="1652365536">
          <w:marLeft w:val="480"/>
          <w:marRight w:val="0"/>
          <w:marTop w:val="0"/>
          <w:marBottom w:val="0"/>
          <w:divBdr>
            <w:top w:val="none" w:sz="0" w:space="0" w:color="auto"/>
            <w:left w:val="none" w:sz="0" w:space="0" w:color="auto"/>
            <w:bottom w:val="none" w:sz="0" w:space="0" w:color="auto"/>
            <w:right w:val="none" w:sz="0" w:space="0" w:color="auto"/>
          </w:divBdr>
        </w:div>
        <w:div w:id="1716733067">
          <w:marLeft w:val="480"/>
          <w:marRight w:val="0"/>
          <w:marTop w:val="0"/>
          <w:marBottom w:val="0"/>
          <w:divBdr>
            <w:top w:val="none" w:sz="0" w:space="0" w:color="auto"/>
            <w:left w:val="none" w:sz="0" w:space="0" w:color="auto"/>
            <w:bottom w:val="none" w:sz="0" w:space="0" w:color="auto"/>
            <w:right w:val="none" w:sz="0" w:space="0" w:color="auto"/>
          </w:divBdr>
        </w:div>
        <w:div w:id="727802778">
          <w:marLeft w:val="480"/>
          <w:marRight w:val="0"/>
          <w:marTop w:val="0"/>
          <w:marBottom w:val="0"/>
          <w:divBdr>
            <w:top w:val="none" w:sz="0" w:space="0" w:color="auto"/>
            <w:left w:val="none" w:sz="0" w:space="0" w:color="auto"/>
            <w:bottom w:val="none" w:sz="0" w:space="0" w:color="auto"/>
            <w:right w:val="none" w:sz="0" w:space="0" w:color="auto"/>
          </w:divBdr>
        </w:div>
        <w:div w:id="1064377954">
          <w:marLeft w:val="480"/>
          <w:marRight w:val="0"/>
          <w:marTop w:val="0"/>
          <w:marBottom w:val="0"/>
          <w:divBdr>
            <w:top w:val="none" w:sz="0" w:space="0" w:color="auto"/>
            <w:left w:val="none" w:sz="0" w:space="0" w:color="auto"/>
            <w:bottom w:val="none" w:sz="0" w:space="0" w:color="auto"/>
            <w:right w:val="none" w:sz="0" w:space="0" w:color="auto"/>
          </w:divBdr>
        </w:div>
        <w:div w:id="904492408">
          <w:marLeft w:val="480"/>
          <w:marRight w:val="0"/>
          <w:marTop w:val="0"/>
          <w:marBottom w:val="0"/>
          <w:divBdr>
            <w:top w:val="none" w:sz="0" w:space="0" w:color="auto"/>
            <w:left w:val="none" w:sz="0" w:space="0" w:color="auto"/>
            <w:bottom w:val="none" w:sz="0" w:space="0" w:color="auto"/>
            <w:right w:val="none" w:sz="0" w:space="0" w:color="auto"/>
          </w:divBdr>
        </w:div>
        <w:div w:id="360515200">
          <w:marLeft w:val="480"/>
          <w:marRight w:val="0"/>
          <w:marTop w:val="0"/>
          <w:marBottom w:val="0"/>
          <w:divBdr>
            <w:top w:val="none" w:sz="0" w:space="0" w:color="auto"/>
            <w:left w:val="none" w:sz="0" w:space="0" w:color="auto"/>
            <w:bottom w:val="none" w:sz="0" w:space="0" w:color="auto"/>
            <w:right w:val="none" w:sz="0" w:space="0" w:color="auto"/>
          </w:divBdr>
        </w:div>
        <w:div w:id="1401178464">
          <w:marLeft w:val="480"/>
          <w:marRight w:val="0"/>
          <w:marTop w:val="0"/>
          <w:marBottom w:val="0"/>
          <w:divBdr>
            <w:top w:val="none" w:sz="0" w:space="0" w:color="auto"/>
            <w:left w:val="none" w:sz="0" w:space="0" w:color="auto"/>
            <w:bottom w:val="none" w:sz="0" w:space="0" w:color="auto"/>
            <w:right w:val="none" w:sz="0" w:space="0" w:color="auto"/>
          </w:divBdr>
        </w:div>
        <w:div w:id="173616768">
          <w:marLeft w:val="480"/>
          <w:marRight w:val="0"/>
          <w:marTop w:val="0"/>
          <w:marBottom w:val="0"/>
          <w:divBdr>
            <w:top w:val="none" w:sz="0" w:space="0" w:color="auto"/>
            <w:left w:val="none" w:sz="0" w:space="0" w:color="auto"/>
            <w:bottom w:val="none" w:sz="0" w:space="0" w:color="auto"/>
            <w:right w:val="none" w:sz="0" w:space="0" w:color="auto"/>
          </w:divBdr>
        </w:div>
        <w:div w:id="2060585575">
          <w:marLeft w:val="480"/>
          <w:marRight w:val="0"/>
          <w:marTop w:val="0"/>
          <w:marBottom w:val="0"/>
          <w:divBdr>
            <w:top w:val="none" w:sz="0" w:space="0" w:color="auto"/>
            <w:left w:val="none" w:sz="0" w:space="0" w:color="auto"/>
            <w:bottom w:val="none" w:sz="0" w:space="0" w:color="auto"/>
            <w:right w:val="none" w:sz="0" w:space="0" w:color="auto"/>
          </w:divBdr>
        </w:div>
        <w:div w:id="585649772">
          <w:marLeft w:val="480"/>
          <w:marRight w:val="0"/>
          <w:marTop w:val="0"/>
          <w:marBottom w:val="0"/>
          <w:divBdr>
            <w:top w:val="none" w:sz="0" w:space="0" w:color="auto"/>
            <w:left w:val="none" w:sz="0" w:space="0" w:color="auto"/>
            <w:bottom w:val="none" w:sz="0" w:space="0" w:color="auto"/>
            <w:right w:val="none" w:sz="0" w:space="0" w:color="auto"/>
          </w:divBdr>
        </w:div>
        <w:div w:id="638533306">
          <w:marLeft w:val="480"/>
          <w:marRight w:val="0"/>
          <w:marTop w:val="0"/>
          <w:marBottom w:val="0"/>
          <w:divBdr>
            <w:top w:val="none" w:sz="0" w:space="0" w:color="auto"/>
            <w:left w:val="none" w:sz="0" w:space="0" w:color="auto"/>
            <w:bottom w:val="none" w:sz="0" w:space="0" w:color="auto"/>
            <w:right w:val="none" w:sz="0" w:space="0" w:color="auto"/>
          </w:divBdr>
        </w:div>
        <w:div w:id="1895190500">
          <w:marLeft w:val="480"/>
          <w:marRight w:val="0"/>
          <w:marTop w:val="0"/>
          <w:marBottom w:val="0"/>
          <w:divBdr>
            <w:top w:val="none" w:sz="0" w:space="0" w:color="auto"/>
            <w:left w:val="none" w:sz="0" w:space="0" w:color="auto"/>
            <w:bottom w:val="none" w:sz="0" w:space="0" w:color="auto"/>
            <w:right w:val="none" w:sz="0" w:space="0" w:color="auto"/>
          </w:divBdr>
        </w:div>
        <w:div w:id="2093699401">
          <w:marLeft w:val="480"/>
          <w:marRight w:val="0"/>
          <w:marTop w:val="0"/>
          <w:marBottom w:val="0"/>
          <w:divBdr>
            <w:top w:val="none" w:sz="0" w:space="0" w:color="auto"/>
            <w:left w:val="none" w:sz="0" w:space="0" w:color="auto"/>
            <w:bottom w:val="none" w:sz="0" w:space="0" w:color="auto"/>
            <w:right w:val="none" w:sz="0" w:space="0" w:color="auto"/>
          </w:divBdr>
        </w:div>
        <w:div w:id="1928922418">
          <w:marLeft w:val="480"/>
          <w:marRight w:val="0"/>
          <w:marTop w:val="0"/>
          <w:marBottom w:val="0"/>
          <w:divBdr>
            <w:top w:val="none" w:sz="0" w:space="0" w:color="auto"/>
            <w:left w:val="none" w:sz="0" w:space="0" w:color="auto"/>
            <w:bottom w:val="none" w:sz="0" w:space="0" w:color="auto"/>
            <w:right w:val="none" w:sz="0" w:space="0" w:color="auto"/>
          </w:divBdr>
        </w:div>
        <w:div w:id="1665207569">
          <w:marLeft w:val="480"/>
          <w:marRight w:val="0"/>
          <w:marTop w:val="0"/>
          <w:marBottom w:val="0"/>
          <w:divBdr>
            <w:top w:val="none" w:sz="0" w:space="0" w:color="auto"/>
            <w:left w:val="none" w:sz="0" w:space="0" w:color="auto"/>
            <w:bottom w:val="none" w:sz="0" w:space="0" w:color="auto"/>
            <w:right w:val="none" w:sz="0" w:space="0" w:color="auto"/>
          </w:divBdr>
        </w:div>
        <w:div w:id="1661932116">
          <w:marLeft w:val="480"/>
          <w:marRight w:val="0"/>
          <w:marTop w:val="0"/>
          <w:marBottom w:val="0"/>
          <w:divBdr>
            <w:top w:val="none" w:sz="0" w:space="0" w:color="auto"/>
            <w:left w:val="none" w:sz="0" w:space="0" w:color="auto"/>
            <w:bottom w:val="none" w:sz="0" w:space="0" w:color="auto"/>
            <w:right w:val="none" w:sz="0" w:space="0" w:color="auto"/>
          </w:divBdr>
        </w:div>
        <w:div w:id="741678544">
          <w:marLeft w:val="480"/>
          <w:marRight w:val="0"/>
          <w:marTop w:val="0"/>
          <w:marBottom w:val="0"/>
          <w:divBdr>
            <w:top w:val="none" w:sz="0" w:space="0" w:color="auto"/>
            <w:left w:val="none" w:sz="0" w:space="0" w:color="auto"/>
            <w:bottom w:val="none" w:sz="0" w:space="0" w:color="auto"/>
            <w:right w:val="none" w:sz="0" w:space="0" w:color="auto"/>
          </w:divBdr>
        </w:div>
        <w:div w:id="858666058">
          <w:marLeft w:val="480"/>
          <w:marRight w:val="0"/>
          <w:marTop w:val="0"/>
          <w:marBottom w:val="0"/>
          <w:divBdr>
            <w:top w:val="none" w:sz="0" w:space="0" w:color="auto"/>
            <w:left w:val="none" w:sz="0" w:space="0" w:color="auto"/>
            <w:bottom w:val="none" w:sz="0" w:space="0" w:color="auto"/>
            <w:right w:val="none" w:sz="0" w:space="0" w:color="auto"/>
          </w:divBdr>
        </w:div>
        <w:div w:id="261423309">
          <w:marLeft w:val="480"/>
          <w:marRight w:val="0"/>
          <w:marTop w:val="0"/>
          <w:marBottom w:val="0"/>
          <w:divBdr>
            <w:top w:val="none" w:sz="0" w:space="0" w:color="auto"/>
            <w:left w:val="none" w:sz="0" w:space="0" w:color="auto"/>
            <w:bottom w:val="none" w:sz="0" w:space="0" w:color="auto"/>
            <w:right w:val="none" w:sz="0" w:space="0" w:color="auto"/>
          </w:divBdr>
        </w:div>
        <w:div w:id="888764214">
          <w:marLeft w:val="480"/>
          <w:marRight w:val="0"/>
          <w:marTop w:val="0"/>
          <w:marBottom w:val="0"/>
          <w:divBdr>
            <w:top w:val="none" w:sz="0" w:space="0" w:color="auto"/>
            <w:left w:val="none" w:sz="0" w:space="0" w:color="auto"/>
            <w:bottom w:val="none" w:sz="0" w:space="0" w:color="auto"/>
            <w:right w:val="none" w:sz="0" w:space="0" w:color="auto"/>
          </w:divBdr>
        </w:div>
        <w:div w:id="1895193830">
          <w:marLeft w:val="480"/>
          <w:marRight w:val="0"/>
          <w:marTop w:val="0"/>
          <w:marBottom w:val="0"/>
          <w:divBdr>
            <w:top w:val="none" w:sz="0" w:space="0" w:color="auto"/>
            <w:left w:val="none" w:sz="0" w:space="0" w:color="auto"/>
            <w:bottom w:val="none" w:sz="0" w:space="0" w:color="auto"/>
            <w:right w:val="none" w:sz="0" w:space="0" w:color="auto"/>
          </w:divBdr>
        </w:div>
        <w:div w:id="330915429">
          <w:marLeft w:val="480"/>
          <w:marRight w:val="0"/>
          <w:marTop w:val="0"/>
          <w:marBottom w:val="0"/>
          <w:divBdr>
            <w:top w:val="none" w:sz="0" w:space="0" w:color="auto"/>
            <w:left w:val="none" w:sz="0" w:space="0" w:color="auto"/>
            <w:bottom w:val="none" w:sz="0" w:space="0" w:color="auto"/>
            <w:right w:val="none" w:sz="0" w:space="0" w:color="auto"/>
          </w:divBdr>
        </w:div>
        <w:div w:id="1545554225">
          <w:marLeft w:val="480"/>
          <w:marRight w:val="0"/>
          <w:marTop w:val="0"/>
          <w:marBottom w:val="0"/>
          <w:divBdr>
            <w:top w:val="none" w:sz="0" w:space="0" w:color="auto"/>
            <w:left w:val="none" w:sz="0" w:space="0" w:color="auto"/>
            <w:bottom w:val="none" w:sz="0" w:space="0" w:color="auto"/>
            <w:right w:val="none" w:sz="0" w:space="0" w:color="auto"/>
          </w:divBdr>
        </w:div>
        <w:div w:id="1998144675">
          <w:marLeft w:val="480"/>
          <w:marRight w:val="0"/>
          <w:marTop w:val="0"/>
          <w:marBottom w:val="0"/>
          <w:divBdr>
            <w:top w:val="none" w:sz="0" w:space="0" w:color="auto"/>
            <w:left w:val="none" w:sz="0" w:space="0" w:color="auto"/>
            <w:bottom w:val="none" w:sz="0" w:space="0" w:color="auto"/>
            <w:right w:val="none" w:sz="0" w:space="0" w:color="auto"/>
          </w:divBdr>
        </w:div>
        <w:div w:id="748967244">
          <w:marLeft w:val="480"/>
          <w:marRight w:val="0"/>
          <w:marTop w:val="0"/>
          <w:marBottom w:val="0"/>
          <w:divBdr>
            <w:top w:val="none" w:sz="0" w:space="0" w:color="auto"/>
            <w:left w:val="none" w:sz="0" w:space="0" w:color="auto"/>
            <w:bottom w:val="none" w:sz="0" w:space="0" w:color="auto"/>
            <w:right w:val="none" w:sz="0" w:space="0" w:color="auto"/>
          </w:divBdr>
        </w:div>
        <w:div w:id="1717122229">
          <w:marLeft w:val="480"/>
          <w:marRight w:val="0"/>
          <w:marTop w:val="0"/>
          <w:marBottom w:val="0"/>
          <w:divBdr>
            <w:top w:val="none" w:sz="0" w:space="0" w:color="auto"/>
            <w:left w:val="none" w:sz="0" w:space="0" w:color="auto"/>
            <w:bottom w:val="none" w:sz="0" w:space="0" w:color="auto"/>
            <w:right w:val="none" w:sz="0" w:space="0" w:color="auto"/>
          </w:divBdr>
        </w:div>
        <w:div w:id="233514424">
          <w:marLeft w:val="480"/>
          <w:marRight w:val="0"/>
          <w:marTop w:val="0"/>
          <w:marBottom w:val="0"/>
          <w:divBdr>
            <w:top w:val="none" w:sz="0" w:space="0" w:color="auto"/>
            <w:left w:val="none" w:sz="0" w:space="0" w:color="auto"/>
            <w:bottom w:val="none" w:sz="0" w:space="0" w:color="auto"/>
            <w:right w:val="none" w:sz="0" w:space="0" w:color="auto"/>
          </w:divBdr>
        </w:div>
        <w:div w:id="458768453">
          <w:marLeft w:val="480"/>
          <w:marRight w:val="0"/>
          <w:marTop w:val="0"/>
          <w:marBottom w:val="0"/>
          <w:divBdr>
            <w:top w:val="none" w:sz="0" w:space="0" w:color="auto"/>
            <w:left w:val="none" w:sz="0" w:space="0" w:color="auto"/>
            <w:bottom w:val="none" w:sz="0" w:space="0" w:color="auto"/>
            <w:right w:val="none" w:sz="0" w:space="0" w:color="auto"/>
          </w:divBdr>
        </w:div>
        <w:div w:id="565188082">
          <w:marLeft w:val="480"/>
          <w:marRight w:val="0"/>
          <w:marTop w:val="0"/>
          <w:marBottom w:val="0"/>
          <w:divBdr>
            <w:top w:val="none" w:sz="0" w:space="0" w:color="auto"/>
            <w:left w:val="none" w:sz="0" w:space="0" w:color="auto"/>
            <w:bottom w:val="none" w:sz="0" w:space="0" w:color="auto"/>
            <w:right w:val="none" w:sz="0" w:space="0" w:color="auto"/>
          </w:divBdr>
        </w:div>
        <w:div w:id="1697269919">
          <w:marLeft w:val="480"/>
          <w:marRight w:val="0"/>
          <w:marTop w:val="0"/>
          <w:marBottom w:val="0"/>
          <w:divBdr>
            <w:top w:val="none" w:sz="0" w:space="0" w:color="auto"/>
            <w:left w:val="none" w:sz="0" w:space="0" w:color="auto"/>
            <w:bottom w:val="none" w:sz="0" w:space="0" w:color="auto"/>
            <w:right w:val="none" w:sz="0" w:space="0" w:color="auto"/>
          </w:divBdr>
        </w:div>
        <w:div w:id="188422537">
          <w:marLeft w:val="480"/>
          <w:marRight w:val="0"/>
          <w:marTop w:val="0"/>
          <w:marBottom w:val="0"/>
          <w:divBdr>
            <w:top w:val="none" w:sz="0" w:space="0" w:color="auto"/>
            <w:left w:val="none" w:sz="0" w:space="0" w:color="auto"/>
            <w:bottom w:val="none" w:sz="0" w:space="0" w:color="auto"/>
            <w:right w:val="none" w:sz="0" w:space="0" w:color="auto"/>
          </w:divBdr>
        </w:div>
        <w:div w:id="542059337">
          <w:marLeft w:val="480"/>
          <w:marRight w:val="0"/>
          <w:marTop w:val="0"/>
          <w:marBottom w:val="0"/>
          <w:divBdr>
            <w:top w:val="none" w:sz="0" w:space="0" w:color="auto"/>
            <w:left w:val="none" w:sz="0" w:space="0" w:color="auto"/>
            <w:bottom w:val="none" w:sz="0" w:space="0" w:color="auto"/>
            <w:right w:val="none" w:sz="0" w:space="0" w:color="auto"/>
          </w:divBdr>
        </w:div>
        <w:div w:id="701176192">
          <w:marLeft w:val="480"/>
          <w:marRight w:val="0"/>
          <w:marTop w:val="0"/>
          <w:marBottom w:val="0"/>
          <w:divBdr>
            <w:top w:val="none" w:sz="0" w:space="0" w:color="auto"/>
            <w:left w:val="none" w:sz="0" w:space="0" w:color="auto"/>
            <w:bottom w:val="none" w:sz="0" w:space="0" w:color="auto"/>
            <w:right w:val="none" w:sz="0" w:space="0" w:color="auto"/>
          </w:divBdr>
        </w:div>
        <w:div w:id="1283614757">
          <w:marLeft w:val="480"/>
          <w:marRight w:val="0"/>
          <w:marTop w:val="0"/>
          <w:marBottom w:val="0"/>
          <w:divBdr>
            <w:top w:val="none" w:sz="0" w:space="0" w:color="auto"/>
            <w:left w:val="none" w:sz="0" w:space="0" w:color="auto"/>
            <w:bottom w:val="none" w:sz="0" w:space="0" w:color="auto"/>
            <w:right w:val="none" w:sz="0" w:space="0" w:color="auto"/>
          </w:divBdr>
        </w:div>
        <w:div w:id="228615588">
          <w:marLeft w:val="480"/>
          <w:marRight w:val="0"/>
          <w:marTop w:val="0"/>
          <w:marBottom w:val="0"/>
          <w:divBdr>
            <w:top w:val="none" w:sz="0" w:space="0" w:color="auto"/>
            <w:left w:val="none" w:sz="0" w:space="0" w:color="auto"/>
            <w:bottom w:val="none" w:sz="0" w:space="0" w:color="auto"/>
            <w:right w:val="none" w:sz="0" w:space="0" w:color="auto"/>
          </w:divBdr>
        </w:div>
        <w:div w:id="1845319924">
          <w:marLeft w:val="480"/>
          <w:marRight w:val="0"/>
          <w:marTop w:val="0"/>
          <w:marBottom w:val="0"/>
          <w:divBdr>
            <w:top w:val="none" w:sz="0" w:space="0" w:color="auto"/>
            <w:left w:val="none" w:sz="0" w:space="0" w:color="auto"/>
            <w:bottom w:val="none" w:sz="0" w:space="0" w:color="auto"/>
            <w:right w:val="none" w:sz="0" w:space="0" w:color="auto"/>
          </w:divBdr>
        </w:div>
        <w:div w:id="566577035">
          <w:marLeft w:val="480"/>
          <w:marRight w:val="0"/>
          <w:marTop w:val="0"/>
          <w:marBottom w:val="0"/>
          <w:divBdr>
            <w:top w:val="none" w:sz="0" w:space="0" w:color="auto"/>
            <w:left w:val="none" w:sz="0" w:space="0" w:color="auto"/>
            <w:bottom w:val="none" w:sz="0" w:space="0" w:color="auto"/>
            <w:right w:val="none" w:sz="0" w:space="0" w:color="auto"/>
          </w:divBdr>
        </w:div>
      </w:divsChild>
    </w:div>
    <w:div w:id="1461846593">
      <w:bodyDiv w:val="1"/>
      <w:marLeft w:val="0"/>
      <w:marRight w:val="0"/>
      <w:marTop w:val="0"/>
      <w:marBottom w:val="0"/>
      <w:divBdr>
        <w:top w:val="none" w:sz="0" w:space="0" w:color="auto"/>
        <w:left w:val="none" w:sz="0" w:space="0" w:color="auto"/>
        <w:bottom w:val="none" w:sz="0" w:space="0" w:color="auto"/>
        <w:right w:val="none" w:sz="0" w:space="0" w:color="auto"/>
      </w:divBdr>
    </w:div>
    <w:div w:id="1950812504">
      <w:bodyDiv w:val="1"/>
      <w:marLeft w:val="0"/>
      <w:marRight w:val="0"/>
      <w:marTop w:val="0"/>
      <w:marBottom w:val="0"/>
      <w:divBdr>
        <w:top w:val="none" w:sz="0" w:space="0" w:color="auto"/>
        <w:left w:val="none" w:sz="0" w:space="0" w:color="auto"/>
        <w:bottom w:val="none" w:sz="0" w:space="0" w:color="auto"/>
        <w:right w:val="none" w:sz="0" w:space="0" w:color="auto"/>
      </w:divBdr>
    </w:div>
    <w:div w:id="203831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70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A41E5F6-369D-4BA5-B4CE-DC28447B4108}">
  <we:reference id="f78a3046-9e99-4300-aa2b-5814002b01a2" version="1.46.0.0" store="EXCatalog" storeType="EXCatalog"/>
  <we:alternateReferences>
    <we:reference id="WA104382081" version="1.46.0.0" store="it-IT" storeType="OMEX"/>
  </we:alternateReferences>
  <we:properties>
    <we:property name="MENDELEY_CITATIONS" value="[{&quot;citationID&quot;:&quot;MENDELEY_CITATION_f0470b48-a1ff-4b58-b59b-1f49085e272d&quot;,&quot;properties&quot;:{&quot;noteIndex&quot;:0},&quot;isEdited&quot;:false,&quot;manualOverride&quot;:{&quot;citeprocText&quot;:&quot;(Wang et al., 2021)&quot;,&quot;isManuallyOverridden&quot;:false,&quot;manualOverrideText&quot;:&quot;&quot;},&quot;citationTag&quot;:&quot;MENDELEY_CITATION_v3_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&quot;,&quot;citationItems&quot;:[{&quot;id&quot;:&quot;10d8da64-8437-5e4a-94d3-97eb3756529d&quot;,&quot;itemData&quot;:{&quot;DOI&quot;:&quot;10.1159/000513146&quot;,&quot;ISSN&quot;:&quot;16620631&quot;,&quot;abstract&quot;:&quot;Eosinophilic colitis (EC) belongs to a group of idiopathic diseases called eosinophilic gastrointestinal disorders, which are characterized by eosinophil-predominant inflammation in the gastrointestinal tract. Corticosteroids is the first-line pharmacotherapy for EC refractory to diet therapy. We report an infant with steroid-resistant EC, who successfully returned to a healthy growth trajectory under the combined therapy of montelukast and ketotifen. An 8-month-old boy presented with bloody diarrhea, anemia, and failure to thrive (FTT) that started 6 days after birth. The patient has no known allergies. A trial of elementary diet was unsuccessful. The results of several stool cultures were unremarkable. Similarly, lower gastrointestinal series failed to identify anything significant. At 3 months of age, an esophagogastroduodenoscopy with biopsies from the distal duodenum and proximal jejunum were unremarkable. The diarrhea and FTT persisted. A rectosigmoidoscopy with biopsies was performed; the results led to the diagnosis of EC at 5 months of age. Oral prednisolone 1 mg/kg/day was prescribed; however, 3 months into the treatment, persistent bloody diarrhea and FTT were still noted. Montelukast and ketotifen were added, after which diarrhea and weight gain started to improve. Prednisolone and montelukast/ketotifen were tapered off 6 months after. He remains symptom free and has normal growth and development in a 5-year follow-up.&quot;,&quot;author&quot;:[{&quot;dropping-particle&quot;:&quot;&quot;,&quot;family&quot;:&quot;Wang&quot;,&quot;given&quot;:&quot;Nai Wei&quot;,&quot;non-dropping-particle&quot;:&quot;&quot;,&quot;parse-names&quot;:false,&quot;suffix&quot;:&quot;&quot;},{&quot;dropping-particle&quot;:&quot;&quot;,&quot;family&quot;:&quot;Hsieh&quot;,&quot;given&quot;:&quot;Hsuan&quot;,&quot;non-dropping-particle&quot;:&quot;&quot;,&quot;parse-names&quot;:false,&quot;suffix&quot;:&quot;&quot;},{&quot;dropping-particle&quot;:&quot;&quot;,&quot;family&quot;:&quot;Yang&quot;,&quot;given&quot;:&quot;Yao Jong&quot;,&quot;non-dropping-particle&quot;:&quot;&quot;,&quot;parse-names&quot;:false,&quot;suffix&quot;:&quot;&quot;}],&quot;container-title&quot;:&quot;Case Reports in Gastroenterology&quot;,&quot;id&quot;:&quot;10d8da64-8437-5e4a-94d3-97eb3756529d&quot;,&quot;issue&quot;:&quot;1&quot;,&quot;issued&quot;:{&quot;date-parts&quot;:[[&quot;2021&quot;]]},&quot;page&quot;:&quot;389-394&quot;,&quot;title&quot;:&quot;Successful Montelukast Treatment in an Infant with Steroid-Resistant Eosinophilic Colitis&quot;,&quot;type&quot;:&quot;article-journal&quot;,&quot;volume&quot;:&quot;15&quot;,&quot;container-title-short&quot;:&quot;&quot;},&quot;uris&quot;:[&quot;http://www.mendeley.com/documents/?uuid=8d5007ca-1269-4ef2-a4cf-b9822bfff8f3&quot;],&quot;isTemporary&quot;:false,&quot;legacyDesktopId&quot;:&quot;8d5007ca-1269-4ef2-a4cf-b9822bfff8f3&quot;}]},{&quot;citationID&quot;:&quot;MENDELEY_CITATION_c7ea82fa-35a8-4781-b639-b184dbff41b1&quot;,&quot;properties&quot;:{&quot;noteIndex&quot;:0},&quot;isEdited&quot;:false,&quot;manualOverride&quot;:{&quot;citeprocText&quot;:&quot;(Alfadda et al., 2011)&quot;,&quot;isManuallyOverridden&quot;:false,&quot;manualOverrideText&quot;:&quot;&quot;},&quot;citationTag&quot;:&quot;MENDELEY_CITATION_v3_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&quot;,&quot;citationItems&quot;:[{&quot;id&quot;:&quot;88237b4d-ffea-5be4-a956-60d6580fd71e&quot;,&quot;itemData&quot;:{&quot;DOI&quot;:&quot;10.1093/bmb/ldr045&quot;,&quot;ISSN&quot;:&quot;00071420&quot;,&quot;PMID&quot;:&quot;22012125&quot;,&quot;abstract&quot;:&quot;Background Primary eosinophilic gastrointestinal disorders, a spectrum of inflammatory conditions, occurs when eosinophils selectively infiltrate the gut in the absence of known causes for such tissue eosinophilia. These may be classified into eosinophilic esophagitis, eosinophilic gastroenteritis and eosinophilic colitis (EC). This review focuses on EC: its pathogenesis, epidemiology, clinical presentation, diagnosis and current approach to treatment. Sources of dataA literature review published in English was performed using Pubmed, Ovid, Google scholar search engines with the following keywords: eosinophilic gastrointestinal disorder, EC, eosinophils, colitis and gastrointestinal. Areas of agreementThe basis for primary EC appears related to increased sensitivity to allergens, principally as a food allergy in infants and a T lymphocyte-mediated event in adults. Endoscopic changes are generally modest, featuring edema and patchy granularity. Areas of controversyClear clinical and pathological diagnostic criteria of EC and its management strategy. Growing pointsIntestinal involvement of EC is primarily mucosal, presenting as a mild self-limited proctitis in infants and self-limited colitis in young adults. Therapeutic approaches based on case reports tend to use either elimination diets to avoid a presumed allergen; agents traditionally used in inflammatory disease or targeted drugs like anti-histamines or leukotriene receptor antagonists. Areas timely for developing researchProspective randomized controlled trials addressing the disease natural history, possible preventive methods and effective medical approach and long-term prognosis are required. © 2011 The Author.&quot;,&quot;author&quot;:[{&quot;dropping-particle&quot;:&quot;&quot;,&quot;family&quot;:&quot;Alfadda&quot;,&quot;given&quot;:&quot;Abdulrahman A.&quot;,&quot;non-dropping-particle&quot;:&quot;&quot;,&quot;parse-names&quot;:false,&quot;suffix&quot;:&quot;&quot;},{&quot;dropping-particle&quot;:&quot;&quot;,&quot;family&quot;:&quot;Storr&quot;,&quot;given&quot;:&quot;Martin A.&quot;,&quot;non-dropping-particle&quot;:&quot;&quot;,&quot;parse-names&quot;:false,&quot;suffix&quot;:&quot;&quot;},{&quot;dropping-particle&quot;:&quot;&quot;,&quot;family&quot;:&quot;Shaffer&quot;,&quot;given&quot;:&quot;Eldon A.&quot;,&quot;non-dropping-particle&quot;:&quot;&quot;,&quot;parse-names&quot;:false,&quot;suffix&quot;:&quot;&quot;}],&quot;container-title&quot;:&quot;British Medical Bulletin&quot;,&quot;id&quot;:&quot;88237b4d-ffea-5be4-a956-60d6580fd71e&quot;,&quot;issue&quot;:&quot;1&quot;,&quot;issued&quot;:{&quot;date-parts&quot;:[[&quot;2011&quot;]]},&quot;page&quot;:&quot;59-72&quot;,&quot;title&quot;:&quot;Eosinophilic colitis: An update on pathophysiology and treatment&quot;,&quot;type&quot;:&quot;article-journal&quot;,&quot;volume&quot;:&quot;100&quot;,&quot;container-title-short&quot;:&quot;&quot;},&quot;uris&quot;:[&quot;http://www.mendeley.com/documents/?uuid=0276aa85-e5b3-4dd2-932b-36983c07395a&quot;],&quot;isTemporary&quot;:false,&quot;legacyDesktopId&quot;:&quot;0276aa85-e5b3-4dd2-932b-36983c07395a&quot;}]},{&quot;citationID&quot;:&quot;MENDELEY_CITATION_d65f9e67-2d1e-4012-a576-4457d240faa8&quot;,&quot;properties&quot;:{&quot;noteIndex&quot;:0},&quot;isEdited&quot;:false,&quot;manualOverride&quot;:{&quot;citeprocText&quot;:&quot;(Lozinsky and Morais, 2014)&quot;,&quot;isManuallyOverridden&quot;:false,&quot;manualOverrideText&quot;:&quot;&quot;},&quot;citationTag&quot;:&quot;MENDELEY_CITATION_v3_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&quot;,&quot;citationItems&quot;:[{&quot;id&quot;:&quot;f6b0f6db-3e82-5f26-a9ab-f1459d93ebf7&quot;,&quot;itemData&quot;:{&quot;DOI&quot;:&quot;10.1016/j.jped.2013.03.024&quot;,&quot;ISSN&quot;:&quot;00217557&quot;,&quot;PMID&quot;:&quot;24131740&quot;,&quot;abstract&quot;:&quot;Objective to review the literature for clinical data on infants with allergic or eosinophilic colitis. Data source MEDLINE search of all indexes was performed using the words \&quot;colitis or proctocolitis and eosinophilic\&quot; or \&quot;colitis or proctocolitis and allergic\&quot; between 1966 and February of 2013. All articles that described patients' characteristics were selected. Data synthesis a total of 770 articles were identified, of which 32 met the inclusion criteria. The 32 articles included a total of 314 infants. According to the available information, 61.6% of infants were male and 78.6% were younger than 6 months. Of the 314 patients, 49.0% were fed exclusively breast milk, 44.2% received cow's milk protein, and 6.8% received soy protein. Diarrheal stools were described in 28.3% of patients. Eosinophilia was found in 43.8% (115/263) of infants. Colonic or rectal biopsy showed infiltration by eosinophils (between 5 and 25 per high-power field) in 89.3% (236/264) of patients. Most patients showed improvement with the removal of the protein in cow's milk from their diet or the mother's diet. Allergy challenge tests with cow's milk protein were cited by 12 of the 32 articles (66 patients). Conclusions eosinophilic colitis occurs predominantly in the first six months of life and in males. Allergy to cow's milk was considered the main cause of eosinophilic colitis. Exclusion of cow's milk from the diet of the lactating mother or from the infant's diet is generally an effective therapeutic measure. © 2013 Sociedade Brasileira de Pediatria.&quot;,&quot;author&quot;:[{&quot;dropping-particle&quot;:&quot;&quot;,&quot;family&quot;:&quot;Lozinsky&quot;,&quot;given&quot;:&quot;Adriana Chebar&quot;,&quot;non-dropping-particle&quot;:&quot;&quot;,&quot;parse-names&quot;:false,&quot;suffix&quot;:&quot;&quot;},{&quot;dropping-particle&quot;:&quot;De&quot;,&quot;family&quot;:&quot;Morais&quot;,&quot;given&quot;:&quot;Mauro Batista&quot;,&quot;non-dropping-particle&quot;:&quot;&quot;,&quot;parse-names&quot;:false,&quot;suffix&quot;:&quot;&quot;}],&quot;container-title&quot;:&quot;Jornal de Pediatria&quot;,&quot;id&quot;:&quot;f6b0f6db-3e82-5f26-a9ab-f1459d93ebf7&quot;,&quot;issue&quot;:&quot;1&quot;,&quot;issued&quot;:{&quot;date-parts&quot;:[[&quot;2014&quot;]]},&quot;page&quot;:&quot;16-21&quot;,&quot;title&quot;:&quot;Eosinophilic colitis in infants&quot;,&quot;type&quot;:&quot;article-journal&quot;,&quot;volume&quot;:&quot;90&quot;,&quot;container-title-short&quot;:&quot;&quot;},&quot;uris&quot;:[&quot;http://www.mendeley.com/documents/?uuid=89957020-b8cb-4814-8e86-67f2e538a7e5&quot;],&quot;isTemporary&quot;:false,&quot;legacyDesktopId&quot;:&quot;89957020-b8cb-4814-8e86-67f2e538a7e5&quot;}]},{&quot;citationID&quot;:&quot;MENDELEY_CITATION_b71dbc20-a4da-4af3-9d48-ef6f6bc6dca7&quot;,&quot;properties&quot;:{&quot;noteIndex&quot;:0},&quot;isEdited&quot;:false,&quot;manualOverride&quot;:{&quot;citeprocText&quot;:&quot;(Fang et al., 2019)&quot;,&quot;isManuallyOverridden&quot;:false,&quot;manualOverrideText&quot;:&quot;&quot;},&quot;citationTag&quot;:&quot;MENDELEY_CITATION_v3_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&quot;,&quot;citationItems&quot;:[{&quot;id&quot;:&quot;815ee307-536e-5d8f-a0a7-02e9174dad2b&quot;,&quot;itemData&quot;:{&quot;DOI&quot;:&quot;10.1038/s41390-019-0444-2&quot;,&quot;ISSN&quot;:&quot;15300447&quot;,&quot;PMID&quot;:&quot;31141816&quot;,&quot;abstract&quot;:&quot;Background: The effectiveness of budesonide (BUD), a locally active steroid, on eosinophilic gastroenteritis (EGE) is not well understood. This study is to retrospectively evaluate the efficacy of BUD in children with EGE. Methods: Forty-four children, diagnosed with EGE, were enrolled from 2013 to 2017 in our center. According to patients’ preference, all the patients were treated with dietary elimination (DE) and montelukast therapy, or combined with prednisone (PRED)/BUD. Patients’ clinical manifestations, treatments, and outcomes were reviewed from the medical records. Twenty-four patients (7 PRED, 7 BUD, 10 DE) received therapy for ≥8 weeks, followed by repeat endoscopy and biopsies. Histological response was defined as &lt;20 eos/hpf (eosinophils per high-power field). Results: Significant number of patients in DE+PRED (6/7, 85.7%) and DE+BUD (6/7, 85.7%) groups achieved histological response than in the DE group (3/10.30%) (p = 0.024). Mean post-treatment peak eos/hpf in the DE+PRED group was 16.57 ± 6.85 vs. 10.00 ± 5.07 in the DE+BUD group vs. 36.60 ± 24.57 in the DE group (p = 0.009). Change of eos/hpf from pre- to post-treatment was −49.86 ± 45.02 vs. −34.29 ± 23.44 in the BUD group vs. −0.3 ± 23.95 in the DE group (p = 0.011). There were no significant differences between DE+PRED and DE+BUD groups (p = 0.470, p = 0.363, respectively). Conclusion: BUD is effective in the treatment of EGE and has similar effectiveness with PRED.&quot;,&quot;author&quot;:[{&quot;dropping-particle&quot;:&quot;&quot;,&quot;family&quot;:&quot;Fang&quot;,&quot;given&quot;:&quot;Shengbo&quot;,&quot;non-dropping-particle&quot;:&quot;&quot;,&quot;parse-names&quot;:false,&quot;suffix&quot;:&quot;&quot;},{&quot;dropping-particle&quot;:&quot;&quot;,&quot;family&quot;:&quot;Song&quot;,&quot;given&quot;:&quot;Yanqing&quot;,&quot;non-dropping-particle&quot;:&quot;&quot;,&quot;parse-names&quot;:false,&quot;suffix&quot;:&quot;&quot;},{&quot;dropping-particle&quot;:&quot;&quot;,&quot;family&quot;:&quot;Zhang&quot;,&quot;given&quot;:&quot;Sixi&quot;,&quot;non-dropping-particle&quot;:&quot;&quot;,&quot;parse-names&quot;:false,&quot;suffix&quot;:&quot;&quot;},{&quot;dropping-particle&quot;:&quot;&quot;,&quot;family&quot;:&quot;Li&quot;,&quot;given&quot;:&quot;Chunyan&quot;,&quot;non-dropping-particle&quot;:&quot;&quot;,&quot;parse-names&quot;:false,&quot;suffix&quot;:&quot;&quot;}],&quot;container-title&quot;:&quot;Pediatric Research&quot;,&quot;id&quot;:&quot;815ee307-536e-5d8f-a0a7-02e9174dad2b&quot;,&quot;issue&quot;:&quot;4&quot;,&quot;issued&quot;:{&quot;date-parts&quot;:[[&quot;2019&quot;]]},&quot;page&quot;:&quot;505-509&quot;,&quot;publisher&quot;:&quot;Springer US&quot;,&quot;title&quot;:&quot;Retrospective study of budesonide in children with eosinophilic gastroenteritis&quot;,&quot;type&quot;:&quot;article-journal&quot;,&quot;volume&quot;:&quot;86&quot;,&quot;container-title-short&quot;:&quot;&quot;},&quot;uris&quot;:[&quot;http://www.mendeley.com/documents/?uuid=51ae1dd2-999f-4a6d-985d-7eb037eb326b&quot;],&quot;isTemporary&quot;:false,&quot;legacyDesktopId&quot;:&quot;51ae1dd2-999f-4a6d-985d-7eb037eb326b&quot;}]},{&quot;citationID&quot;:&quot;MENDELEY_CITATION_14db96e3-c624-4024-a029-51f2cc04907b&quot;,&quot;properties&quot;:{&quot;noteIndex&quot;:0},&quot;isEdited&quot;:false,&quot;manualOverride&quot;:{&quot;citeprocText&quot;:&quot;(Wang et al., 2021)&quot;,&quot;isManuallyOverridden&quot;:false,&quot;manualOverrideText&quot;:&quot;&quot;},&quot;citationTag&quot;:&quot;MENDELEY_CITATION_v3_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&quot;,&quot;citationItems&quot;:[{&quot;id&quot;:&quot;10d8da64-8437-5e4a-94d3-97eb3756529d&quot;,&quot;itemData&quot;:{&quot;DOI&quot;:&quot;10.1159/000513146&quot;,&quot;ISSN&quot;:&quot;16620631&quot;,&quot;abstract&quot;:&quot;Eosinophilic colitis (EC) belongs to a group of idiopathic diseases called eosinophilic gastrointestinal disorders, which are characterized by eosinophil-predominant inflammation in the gastrointestinal tract. Corticosteroids is the first-line pharmacotherapy for EC refractory to diet therapy. We report an infant with steroid-resistant EC, who successfully returned to a healthy growth trajectory under the combined therapy of montelukast and ketotifen. An 8-month-old boy presented with bloody diarrhea, anemia, and failure to thrive (FTT) that started 6 days after birth. The patient has no known allergies. A trial of elementary diet was unsuccessful. The results of several stool cultures were unremarkable. Similarly, lower gastrointestinal series failed to identify anything significant. At 3 months of age, an esophagogastroduodenoscopy with biopsies from the distal duodenum and proximal jejunum were unremarkable. The diarrhea and FTT persisted. A rectosigmoidoscopy with biopsies was performed; the results led to the diagnosis of EC at 5 months of age. Oral prednisolone 1 mg/kg/day was prescribed; however, 3 months into the treatment, persistent bloody diarrhea and FTT were still noted. Montelukast and ketotifen were added, after which diarrhea and weight gain started to improve. Prednisolone and montelukast/ketotifen were tapered off 6 months after. He remains symptom free and has normal growth and development in a 5-year follow-up.&quot;,&quot;author&quot;:[{&quot;dropping-particle&quot;:&quot;&quot;,&quot;family&quot;:&quot;Wang&quot;,&quot;given&quot;:&quot;Nai Wei&quot;,&quot;non-dropping-particle&quot;:&quot;&quot;,&quot;parse-names&quot;:false,&quot;suffix&quot;:&quot;&quot;},{&quot;dropping-particle&quot;:&quot;&quot;,&quot;family&quot;:&quot;Hsieh&quot;,&quot;given&quot;:&quot;Hsuan&quot;,&quot;non-dropping-particle&quot;:&quot;&quot;,&quot;parse-names&quot;:false,&quot;suffix&quot;:&quot;&quot;},{&quot;dropping-particle&quot;:&quot;&quot;,&quot;family&quot;:&quot;Yang&quot;,&quot;given&quot;:&quot;Yao Jong&quot;,&quot;non-dropping-particle&quot;:&quot;&quot;,&quot;parse-names&quot;:false,&quot;suffix&quot;:&quot;&quot;}],&quot;container-title&quot;:&quot;Case Reports in Gastroenterology&quot;,&quot;id&quot;:&quot;10d8da64-8437-5e4a-94d3-97eb3756529d&quot;,&quot;issue&quot;:&quot;1&quot;,&quot;issued&quot;:{&quot;date-parts&quot;:[[&quot;2021&quot;]]},&quot;page&quot;:&quot;389-394&quot;,&quot;title&quot;:&quot;Successful Montelukast Treatment in an Infant with Steroid-Resistant Eosinophilic Colitis&quot;,&quot;type&quot;:&quot;article-journal&quot;,&quot;volume&quot;:&quot;15&quot;,&quot;container-title-short&quot;:&quot;&quot;},&quot;uris&quot;:[&quot;http://www.mendeley.com/documents/?uuid=8d5007ca-1269-4ef2-a4cf-b9822bfff8f3&quot;],&quot;isTemporary&quot;:false,&quot;legacyDesktopId&quot;:&quot;8d5007ca-1269-4ef2-a4cf-b9822bfff8f3&quot;}]},{&quot;citationID&quot;:&quot;MENDELEY_CITATION_91c73853-826e-4ac1-b60f-aa73d71124a8&quot;,&quot;properties&quot;:{&quot;noteIndex&quot;:0},&quot;isEdited&quot;:false,&quot;manualOverride&quot;:{&quot;citeprocText&quot;:&quot;(Impellizzeri et al., 2019)&quot;,&quot;isManuallyOverridden&quot;:false,&quot;manualOverrideText&quot;:&quot;&quot;},&quot;citationTag&quot;:&quot;MENDELEY_CITATION_v3_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&quot;,&quot;citationItems&quot;:[{&quot;id&quot;:&quot;509e49dd-6276-5920-9b71-675998879b8d&quot;,&quot;itemData&quot;:{&quot;DOI&quot;:&quot;10.1016/j.dld.2019.04.011&quot;,&quot;ISSN&quot;:&quot;18783562&quot;,&quot;PMID&quot;:&quot;31122823&quot;,&quot;abstract&quot;:&quot;Eosinophilic colitis is a rare entity characterized by the presence of a high eosinophilic infiltrate into the colonic wall in symptomatic patients, more often presenting with abdominal pain or diarrhea. These characteristics distinguish eosinophilic colitis from primary colonic eosinophilia, in which patients are asymptomatic. Primary colonic eosinophilia does not need any therapy, while eosinophilic colitis requires a strict treatment, similar to that of the more codified chronic intestinal inflammatory diseases. To date the lack of codified guidelines regarding the diagnostic criteria and the eosinophil threshold values for each colonic segment are the main diagnostic challenge for eosinophilic colitis. In addition, eosinophilic colitis is a diagnosis of exclusion, once all other causes of colonic eosinophilia (food allergens, infections, drugs, etc.)have been excluded. Several treatment options are available for eosinophilic colitis, although the evidence for most of them is limited to case reports and small case series. We examine the epidemiology, etiology, pathophysiology, diagnostic criteria and therapeutic options of eosinophilic colitis reporting recent evidence from the current literature.&quot;,&quot;author&quot;:[{&quot;dropping-particle&quot;:&quot;&quot;,&quot;family&quot;:&quot;Impellizzeri&quot;,&quot;given&quot;:&quot;Giovanna&quot;,&quot;non-dropping-particle&quot;:&quot;&quot;,&quot;parse-names&quot;:false,&quot;suffix&quot;:&quot;&quot;},{&quot;dropping-particle&quot;:&quot;&quot;,&quot;family&quot;:&quot;Marasco&quot;,&quot;given&quot;:&quot;Giovanni&quot;,&quot;non-dropping-particle&quot;:&quot;&quot;,&quot;parse-names&quot;:false,&quot;suffix&quot;:&quot;&quot;},{&quot;dropping-particle&quot;:&quot;&quot;,&quot;family&quot;:&quot;Eusebi&quot;,&quot;given&quot;:&quot;Leonardo Henry&quot;,&quot;non-dropping-particle&quot;:&quot;&quot;,&quot;parse-names&quot;:false,&quot;suffix&quot;:&quot;&quot;},{&quot;dropping-particle&quot;:&quot;&quot;,&quot;family&quot;:&quot;Salfi&quot;,&quot;given&quot;:&quot;Nunzio&quot;,&quot;non-dropping-particle&quot;:&quot;&quot;,&quot;parse-names&quot;:false,&quot;suffix&quot;:&quot;&quot;},{&quot;dropping-particle&quot;:&quot;&quot;,&quot;family&quot;:&quot;Bazzoli&quot;,&quot;given&quot;:&quot;Franco&quot;,&quot;non-dropping-particle&quot;:&quot;&quot;,&quot;parse-names&quot;:false,&quot;suffix&quot;:&quot;&quot;},{&quot;dropping-particle&quot;:&quot;&quot;,&quot;family&quot;:&quot;Zagari&quot;,&quot;given&quot;:&quot;Rocco Maurizio&quot;,&quot;non-dropping-particle&quot;:&quot;&quot;,&quot;parse-names&quot;:false,&quot;suffix&quot;:&quot;&quot;}],&quot;container-title&quot;:&quot;Digestive and Liver Disease&quot;,&quot;id&quot;:&quot;509e49dd-6276-5920-9b71-675998879b8d&quot;,&quot;issue&quot;:&quot;6&quot;,&quot;issued&quot;:{&quot;date-parts&quot;:[[&quot;2019&quot;]]},&quot;page&quot;:&quot;769-773&quot;,&quot;title&quot;:&quot;Eosinophilic colitis: A clinical review&quot;,&quot;type&quot;:&quot;article-journal&quot;,&quot;volume&quot;:&quot;51&quot;,&quot;container-title-short&quot;:&quot;&quot;},&quot;uris&quot;:[&quot;http://www.mendeley.com/documents/?uuid=8794be68-61b3-4421-8f06-4eb30f45274a&quot;],&quot;isTemporary&quot;:false,&quot;legacyDesktopId&quot;:&quot;8794be68-61b3-4421-8f06-4eb30f45274a&quot;}]},{&quot;citationID&quot;:&quot;MENDELEY_CITATION_7f5b46c1-3d2a-4820-a9fa-ce575c71c7d4&quot;,&quot;properties&quot;:{&quot;noteIndex&quot;:0},&quot;isEdited&quot;:false,&quot;manualOverride&quot;:{&quot;citeprocText&quot;:&quot;(Guajardo et al., 2002; Melton et al., 2011)&quot;,&quot;isManuallyOverridden&quot;:false,&quot;manualOverrideText&quot;:&quot;&quot;},&quot;citationTag&quot;:&quot;MENDELEY_CITATION_v3_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&quot;,&quot;citationItems&quot;:[{&quot;id&quot;:&quot;43f2a01f-48ae-5ff7-9471-aae8d2b4bf45&quot;,&quot;itemData&quot;:{&quot;DOI&quot;:&quot;10.1067/mpd.2002.127663&quot;,&quot;ISSN&quot;:&quot;00223476&quot;,&quot;PMID&quot;:&quot;12378201&quot;,&quot;abstract&quot;:&quot;A world wide web database was established that tracked features of eosinophil-associated gastrointestinal disorders; 80% had coexisting atopic disease, 62% had food sensitization, and 16% had an immediate family member with a similar disorder. Developmental delay, seizure disorders, and congenital anomalies were seen in a proportion of respondents. The world wide web has proven to be an efficient tool to gather patient information, allowing us to define distinguishing features of various eosinophil-associated gastrointestinal disorders and to establish that these disorders have strong genetic and allergic components.&quot;,&quot;author&quot;:[{&quot;dropping-particle&quot;:&quot;&quot;,&quot;family&quot;:&quot;Guajardo&quot;,&quot;given&quot;:&quot;Jesus R.&quot;,&quot;non-dropping-particle&quot;:&quot;&quot;,&quot;parse-names&quot;:false,&quot;suffix&quot;:&quot;&quot;},{&quot;dropping-particle&quot;:&quot;&quot;,&quot;family&quot;:&quot;Plotnick&quot;,&quot;given&quot;:&quot;Lauren M.&quot;,&quot;non-dropping-particle&quot;:&quot;&quot;,&quot;parse-names&quot;:false,&quot;suffix&quot;:&quot;&quot;},{&quot;dropping-particle&quot;:&quot;&quot;,&quot;family&quot;:&quot;Fende&quot;,&quot;given&quot;:&quot;Jennifer M.&quot;,&quot;non-dropping-particle&quot;:&quot;&quot;,&quot;parse-names&quot;:false,&quot;suffix&quot;:&quot;&quot;},{&quot;dropping-particle&quot;:&quot;&quot;,&quot;family&quot;:&quot;Collins&quot;,&quot;given&quot;:&quot;Margaret H.&quot;,&quot;non-dropping-particle&quot;:&quot;&quot;,&quot;parse-names&quot;:false,&quot;suffix&quot;:&quot;&quot;},{&quot;dropping-particle&quot;:&quot;&quot;,&quot;family&quot;:&quot;Putnam&quot;,&quot;given&quot;:&quot;Philip E.&quot;,&quot;non-dropping-particle&quot;:&quot;&quot;,&quot;parse-names&quot;:false,&quot;suffix&quot;:&quot;&quot;},{&quot;dropping-particle&quot;:&quot;&quot;,&quot;family&quot;:&quot;Rothenberg&quot;,&quot;given&quot;:&quot;Marc E.&quot;,&quot;non-dropping-particle&quot;:&quot;&quot;,&quot;parse-names&quot;:false,&quot;suffix&quot;:&quot;&quot;}],&quot;container-title&quot;:&quot;Journal of Pediatrics&quot;,&quot;id&quot;:&quot;43f2a01f-48ae-5ff7-9471-aae8d2b4bf45&quot;,&quot;issue&quot;:&quot;4&quot;,&quot;issued&quot;:{&quot;date-parts&quot;:[[&quot;2002&quot;]]},&quot;page&quot;:&quot;576-581&quot;,&quot;title&quot;:&quot;Eosinophil-associated gastrointestinal disorders: A world-wide-web based registry&quot;,&quot;type&quot;:&quot;article-journal&quot;,&quot;volume&quot;:&quot;141&quot;,&quot;container-title-short&quot;:&quot;&quot;},&quot;uris&quot;:[&quot;http://www.mendeley.com/documents/?uuid=5d181612-e3b6-4820-82ab-27f841bfc419&quot;],&quot;isTemporary&quot;:false,&quot;legacyDesktopId&quot;:&quot;5d181612-e3b6-4820-82ab-27f841bfc419&quot;},{&quot;id&quot;:&quot;ca3797dd-f951-5a97-abbf-76238f63484e&quot;,&quot;itemData&quot;:{&quot;DOI&quot;:&quot;10.1155/2011/857508&quot;,&quot;ISSN&quot;:&quot;16876121&quot;,&quot;abstract&quot;:&quot;Eosinophilic colitis is a rare form of primary eosinophilic gastrointestinal disease that is poorly understood. Neonates and young adults are more frequently affected. Clinical presentation is highly variable depending on the depth of inflammatory response (mucosal, transmural, or serosal). The pathophysiology of eosinophilic colitis is unclear but is suspected to be related to a hypersensitivity reaction given its correlation with other atopic disorders and clinical response to corticosteroid therapy. Diagnosis is that of exclusion and differential diagnoses are many because colonic tissue eosinophilia may occur with other colitides (parasitic, drug-induced, inflammatory bowel disease, and various connective tissue disorders). Similar to other eosinophilic gastrointestinal disorders, steroid-based therapy and diet modification achieve very good and durable responses. In this paper, we present our experience with this rare pathology. Five patients (3 pediatric and 2 adults) presented with diarrhea and hematochezia. Mean age at presentation was 26 years. Mean duration of symptoms before pathologic diagnosis was 8 months. Mean eosinophil count per patient was 31 per high-power field. The pediatric patients responded very well to dietary modifications, with no recurrences. The adult patients were treated with steroids and did not respond. Overall mean followup was 22 (range, 2-48) months. © 2011 Wolfgang B. Gaertner et al.&quot;,&quot;author&quot;:[{&quot;dropping-particle&quot;:&quot;&quot;,&quot;family&quot;:&quot;Melton&quot;,&quot;given&quot;:&quot;Genevieve B.&quot;,&quot;non-dropping-particle&quot;:&quot;&quot;,&quot;parse-names&quot;:false,&quot;suffix&quot;:&quot;&quot;},{&quot;dropping-particle&quot;:&quot;&quot;,&quot;family&quot;:&quot;Gaertner&quot;,&quot;given&quot;:&quot;Wolfgang B.&quot;,&quot;non-dropping-particle&quot;:&quot;&quot;,&quot;parse-names&quot;:false,&quot;suffix&quot;:&quot;&quot;},{&quot;dropping-particle&quot;:&quot;&quot;,&quot;family&quot;:&quot;MacDonald&quot;,&quot;given&quot;:&quot;Jennifer E.&quot;,&quot;non-dropping-particle&quot;:&quot;&quot;,&quot;parse-names&quot;:false,&quot;suffix&quot;:&quot;&quot;},{&quot;dropping-particle&quot;:&quot;&quot;,&quot;family&quot;:&quot;Kwaan&quot;,&quot;given&quot;:&quot;Mary R.&quot;,&quot;non-dropping-particle&quot;:&quot;&quot;,&quot;parse-names&quot;:false,&quot;suffix&quot;:&quot;&quot;},{&quot;dropping-particle&quot;:&quot;&quot;,&quot;family&quot;:&quot;Shepela&quot;,&quot;given&quot;:&quot;Christopher&quot;,&quot;non-dropping-particle&quot;:&quot;&quot;,&quot;parse-names&quot;:false,&quot;suffix&quot;:&quot;&quot;},{&quot;dropping-particle&quot;:&quot;&quot;,&quot;family&quot;:&quot;Madoff&quot;,&quot;given&quot;:&quot;Robert&quot;,&quot;non-dropping-particle&quot;:&quot;&quot;,&quot;parse-names&quot;:false,&quot;suffix&quot;:&quot;&quot;},{&quot;dropping-particle&quot;:&quot;&quot;,&quot;family&quot;:&quot;Jessurun&quot;,&quot;given&quot;:&quot;Jose&quot;,&quot;non-dropping-particle&quot;:&quot;&quot;,&quot;parse-names&quot;:false,&quot;suffix&quot;:&quot;&quot;}],&quot;container-title&quot;:&quot;Gastroenterology Research and Practice&quot;,&quot;id&quot;:&quot;ca3797dd-f951-5a97-abbf-76238f63484e&quot;,&quot;issued&quot;:{&quot;date-parts&quot;:[[&quot;2011&quot;]]},&quot;title&quot;:&quot;Eosinophilic colitis: University of Minnesota experience and literature review&quot;,&quot;type&quot;:&quot;article-journal&quot;,&quot;volume&quot;:&quot;2011&quot;,&quot;container-title-short&quot;:&quot;&quot;},&quot;uris&quot;:[&quot;http://www.mendeley.com/documents/?uuid=e739f856-db70-4619-b147-f93eb5cdbd17&quot;],&quot;isTemporary&quot;:false,&quot;legacyDesktopId&quot;:&quot;e739f856-db70-4619-b147-f93eb5cdbd17&quot;}]},{&quot;citationID&quot;:&quot;MENDELEY_CITATION_8bcde249-60a1-465d-a0f5-72ddda50dde0&quot;,&quot;properties&quot;:{&quot;noteIndex&quot;:0},&quot;isEdited&quot;:false,&quot;manualOverride&quot;:{&quot;citeprocText&quot;:&quot;(Zuccari et al., 2022)&quot;,&quot;isManuallyOverridden&quot;:false,&quot;manualOverrideText&quot;:&quot;&quot;},&quot;citationTag&quot;:&quot;MENDELEY_CITATION_v3_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&quot;,&quot;citationItems&quot;:[{&quot;id&quot;:&quot;b9339ab1-997d-52a8-ac55-a8faba56f037&quot;,&quot;itemData&quot;:{&quot;DOI&quot;:&quot;10.3390/ph15010108&quot;,&quot;ISSN&quot;:&quot;14248247&quot;,&quot;abstract&quot;:&quot;In the treatment of pediatric diseases, mass-produced dosage forms are often not suitable for children. Commercially available medicines are commonly manipulated and mixed with food by caregivers at home, or extemporaneous medications are routinely compounded in the hospital pharmacies to treat hospitalized children. Despite considerable efforts by regulatory agencies, the pediatric population is still exposed to questionable and potentially harmful practices. When designing medicines for children, the ability to fine-tune the dosage while ensuring the safety of the ingredients is of paramount importance. For these purposes solid formulations may represent a valid alternative to liquid formulations for their simpler formula and more stability, and, to overcome the problem of swelling ability, mini-tablets could be a practicable option. This review deals with the different approaches that may be applied to develop mini-tablets intended for pediatrics with a focus on the safety of excipients. Alongside the conventional method of compression, 3D printing appeared particularly appealing, as it allows to reduce the number of ingredients and to avoid both the mixing of powders and intermediate steps such as granulation. Therefore, this technique could be well adaptable to the daily galenic preparations of a hospital pharmacy, thus leading to a reduction of the common practice of off-label preparations.&quot;,&quot;author&quot;:[{&quot;dropping-particle&quot;:&quot;&quot;,&quot;family&quot;:&quot;Zuccari&quot;,&quot;given&quot;:&quot;Guendalina&quot;,&quot;non-dropping-particle&quot;:&quot;&quot;,&quot;parse-names&quot;:false,&quot;suffix&quot;:&quot;&quot;},{&quot;dropping-particle&quot;:&quot;&quot;,&quot;family&quot;:&quot;Alfei&quot;,&quot;given&quot;:&quot;Silvana&quot;,&quot;non-dropping-particle&quot;:&quot;&quot;,&quot;parse-names&quot;:false,&quot;suffix&quot;:&quot;&quot;},{&quot;dropping-particle&quot;:&quot;&quot;,&quot;family&quot;:&quot;Marimpietri&quot;,&quot;given&quot;:&quot;Danilo&quot;,&quot;non-dropping-particle&quot;:&quot;&quot;,&quot;parse-names&quot;:false,&quot;suffix&quot;:&quot;&quot;},{&quot;dropping-particle&quot;:&quot;&quot;,&quot;family&quot;:&quot;Iurilli&quot;,&quot;given&quot;:&quot;Valentina&quot;,&quot;non-dropping-particle&quot;:&quot;&quot;,&quot;parse-names&quot;:false,&quot;suffix&quot;:&quot;&quot;},{&quot;dropping-particle&quot;:&quot;&quot;,&quot;family&quot;:&quot;Barabino&quot;,&quot;given&quot;:&quot;Paola&quot;,&quot;non-dropping-particle&quot;:&quot;&quot;,&quot;parse-names&quot;:false,&quot;suffix&quot;:&quot;&quot;},{&quot;dropping-particle&quot;:&quot;&quot;,&quot;family&quot;:&quot;Marchitto&quot;,&quot;given&quot;:&quot;Leonardo&quot;,&quot;non-dropping-particle&quot;:&quot;&quot;,&quot;parse-names&quot;:false,&quot;suffix&quot;:&quot;&quot;}],&quot;container-title&quot;:&quot;Pharmaceuticals&quot;,&quot;id&quot;:&quot;b9339ab1-997d-52a8-ac55-a8faba56f037&quot;,&quot;issue&quot;:&quot;1&quot;,&quot;issued&quot;:{&quot;date-parts&quot;:[[&quot;2022&quot;]]},&quot;title&quot;:&quot;Mini-Tablets: A Valid Strategy to Combine Efficacy and Safety in Pediatrics&quot;,&quot;type&quot;:&quot;article-journal&quot;,&quot;volume&quot;:&quot;15&quot;,&quot;container-title-short&quot;:&quot;&quot;},&quot;uris&quot;:[&quot;http://www.mendeley.com/documents/?uuid=6deaa5e2-ce07-4cb3-b1b6-b8bec11e35f3&quot;],&quot;isTemporary&quot;:false,&quot;legacyDesktopId&quot;:&quot;6deaa5e2-ce07-4cb3-b1b6-b8bec11e35f3&quot;}]},{&quot;citationID&quot;:&quot;MENDELEY_CITATION_88f82a55-9680-4153-8ce2-d78cd445d242&quot;,&quot;properties&quot;:{&quot;noteIndex&quot;:0},&quot;isEdited&quot;:false,&quot;manualOverride&quot;:{&quot;citeprocText&quot;:&quot;(El Aita et al., 2020a)&quot;,&quot;isManuallyOverridden&quot;:false,&quot;manualOverrideText&quot;:&quot;&quot;},&quot;citationTag&quot;:&quot;MENDELEY_CITATION_v3_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&quot;,&quot;citationItems&quot;:[{&quot;id&quot;:&quot;0cd7fdf1-3f70-5107-9218-066ade5fccad&quot;,&quot;itemData&quot;:{&quot;DOI&quot;:&quot;10.1016/j.ejpb.2020.09.012&quot;,&quot;ISSN&quot;:&quot;18733441&quot;,&quot;PMID&quot;:&quot;33022389&quot;,&quot;abstract&quot;:&quot;The establishment of 3D-printing as manufacturing process for oral solid dosage forms enables new options for the individualized medicine. The aim of this work was to develop a novel drug-printing model using pressure-assisted microsyringe (PAM) technology, which allows the precise dispensing of drug substances. Printed tablets with different numbers of layers, mimicking different doses for pediatric subgroups, were analyzed regarding mass variation, friability, thickness and disintegration time. Furthermore, the uniformity of dosage units and the dissolution behavior were investigated. Friability was &lt;0.3% in all cases, which demonstrates the ability of PAM printing to manufacture robust solid dosage. Disintegration results showed the dependency of the disintegration on the number of layers and therefore on the compact mass of polymer. However, all tablets disintegrated within 3 min and fulfilled the requirements of immediate release tablets of the USP and orodispersible tablets according to the Ph. Eur. Results of uniformity dosage units confirmed the successful manufacturing of the intended individualized doses. Drug dissolution appeared to be dependent on the number of layers. An increase of layers resulted in a decrease of the drug release rate. Further, the drug release could be correlated to the surface area/volume (SA/V) ratio.&quot;,&quot;author&quot;:[{&quot;dropping-particle&quot;:&quot;&quot;,&quot;family&quot;:&quot;Aita&quot;,&quot;given&quot;:&quot;Ilias&quot;,&quot;non-dropping-particle&quot;:&quot;El&quot;,&quot;parse-names&quot;:false,&quot;suffix&quot;:&quot;&quot;},{&quot;dropping-particle&quot;:&quot;&quot;,&quot;family&quot;:&quot;Rahman&quot;,&quot;given&quot;:&quot;Jhinuk&quot;,&quot;non-dropping-particle&quot;:&quot;&quot;,&quot;parse-names&quot;:false,&quot;suffix&quot;:&quot;&quot;},{&quot;dropping-particle&quot;:&quot;&quot;,&quot;family&quot;:&quot;Breitkreutz&quot;,&quot;given&quot;:&quot;Jörg&quot;,&quot;non-dropping-particle&quot;:&quot;&quot;,&quot;parse-names&quot;:false,&quot;suffix&quot;:&quot;&quot;},{&quot;dropping-particle&quot;:&quot;&quot;,&quot;family&quot;:&quot;Quodbach&quot;,&quot;given&quot;:&quot;Julian&quot;,&quot;non-dropping-particle&quot;:&quot;&quot;,&quot;parse-names&quot;:false,&quot;suffix&quot;:&quot;&quot;}],&quot;container-title&quot;:&quot;European Journal of Pharmaceutics and Biopharmaceutics&quot;,&quot;id&quot;:&quot;0cd7fdf1-3f70-5107-9218-066ade5fccad&quot;,&quot;issued&quot;:{&quot;date-parts&quot;:[[&quot;2020&quot;]]},&quot;page&quot;:&quot;59-65&quot;,&quot;title&quot;:&quot;3D-Printing with precise layer-wise dose adjustments for paediatric use via pressure-assisted microsyringe printing&quot;,&quot;type&quot;:&quot;article-journal&quot;,&quot;volume&quot;:&quot;157&quot;,&quot;container-title-short&quot;:&quot;&quot;},&quot;uris&quot;:[&quot;http://www.mendeley.com/documents/?uuid=bb1b2944-5f37-4d82-ad78-e741a28515ea&quot;],&quot;isTemporary&quot;:false,&quot;legacyDesktopId&quot;:&quot;bb1b2944-5f37-4d82-ad78-e741a28515ea&quot;}]},{&quot;citationID&quot;:&quot;MENDELEY_CITATION_3b3a5586-235e-4aa6-a642-818ee08b36ba&quot;,&quot;properties&quot;:{&quot;noteIndex&quot;:0},&quot;isEdited&quot;:false,&quot;manualOverride&quot;:{&quot;citeprocText&quot;:&quot;(Kearns et al., 2003)&quot;,&quot;isManuallyOverridden&quot;:false,&quot;manualOverrideText&quot;:&quot;&quot;},&quot;citationTag&quot;:&quot;MENDELEY_CITATION_v3_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&quot;,&quot;citationItems&quot;:[{&quot;id&quot;:&quot;2a02336d-eb3c-57c8-8750-4109f534785a&quot;,&quot;itemData&quot;:{&quot;DOI&quot;:&quot;10.1056/nejmra035092&quot;,&quot;ISSN&quot;:&quot;0028-4793&quot;,&quot;PMID&quot;:&quot;13679531&quot;,&quot;abstract&quot;:&quot;Infants and children are far different from adults in terms of societal, psychosocial, behavioral, and medical perspectives. More than 100 years ago Dr. Abraham Jacobi, the father of American pediatrics, recognized the importance of and need for age-appropriate pharmacotherapy when he wrote, “Pediatrics does not deal with miniature men and women, with reduced doses and the same class of disease in smaller bodies, but . . . has its own independent range and horizon.”1 As our knowledge of normal growth and development has increased in the past several decades, so has our recognition that developmental changes profoundly affect the responses . . .&quot;,&quot;author&quot;:[{&quot;dropping-particle&quot;:&quot;&quot;,&quot;family&quot;:&quot;Kearns&quot;,&quot;given&quot;:&quot;Gregory L.&quot;,&quot;non-dropping-particle&quot;:&quot;&quot;,&quot;parse-names&quot;:false,&quot;suffix&quot;:&quot;&quot;},{&quot;dropping-particle&quot;:&quot;&quot;,&quot;family&quot;:&quot;Abdel-Rahman&quot;,&quot;given&quot;:&quot;Susan M.&quot;,&quot;non-dropping-particle&quot;:&quot;&quot;,&quot;parse-names&quot;:false,&quot;suffix&quot;:&quot;&quot;},{&quot;dropping-particle&quot;:&quot;&quot;,&quot;family&quot;:&quot;Alander&quot;,&quot;given&quot;:&quot;Sarah W.&quot;,&quot;non-dropping-particle&quot;:&quot;&quot;,&quot;parse-names&quot;:false,&quot;suffix&quot;:&quot;&quot;},{&quot;dropping-particle&quot;:&quot;&quot;,&quot;family&quot;:&quot;Blowey&quot;,&quot;given&quot;:&quot;Douglas L.&quot;,&quot;non-dropping-particle&quot;:&quot;&quot;,&quot;parse-names&quot;:false,&quot;suffix&quot;:&quot;&quot;},{&quot;dropping-particle&quot;:&quot;&quot;,&quot;family&quot;:&quot;Leeder&quot;,&quot;given&quot;:&quot;J. Steven&quot;,&quot;non-dropping-particle&quot;:&quot;&quot;,&quot;parse-names&quot;:false,&quot;suffix&quot;:&quot;&quot;},{&quot;dropping-particle&quot;:&quot;&quot;,&quot;family&quot;:&quot;Kauffman&quot;,&quot;given&quot;:&quot;Ralph E.&quot;,&quot;non-dropping-particle&quot;:&quot;&quot;,&quot;parse-names&quot;:false,&quot;suffix&quot;:&quot;&quot;}],&quot;container-title&quot;:&quot;New England Journal of Medicine&quot;,&quot;id&quot;:&quot;2a02336d-eb3c-57c8-8750-4109f534785a&quot;,&quot;issue&quot;:&quot;12&quot;,&quot;issued&quot;:{&quot;date-parts&quot;:[[&quot;2003&quot;]]},&quot;page&quot;:&quot;1157-1167&quot;,&quot;title&quot;:&quot;Developmental Pharmacology — Drug Disposition, Action, and Therapy in Infants and Children&quot;,&quot;type&quot;:&quot;article-journal&quot;,&quot;volume&quot;:&quot;349&quot;,&quot;container-title-short&quot;:&quot;&quot;},&quot;uris&quot;:[&quot;http://www.mendeley.com/documents/?uuid=c0e6245e-48cf-4b70-9cef-979aadde9a11&quot;],&quot;isTemporary&quot;:false,&quot;legacyDesktopId&quot;:&quot;c0e6245e-48cf-4b70-9cef-979aadde9a11&quot;}]},{&quot;citationID&quot;:&quot;MENDELEY_CITATION_deed5c0d-9278-4a3a-aa5b-349183243723&quot;,&quot;properties&quot;:{&quot;noteIndex&quot;:0},&quot;isEdited&quot;:false,&quot;manualOverride&quot;:{&quot;citeprocText&quot;:&quot;(Wang et al., 2021)&quot;,&quot;isManuallyOverridden&quot;:false,&quot;manualOverrideText&quot;:&quot;&quot;},&quot;citationTag&quot;:&quot;MENDELEY_CITATION_v3_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&quot;,&quot;citationItems&quot;:[{&quot;id&quot;:&quot;10d8da64-8437-5e4a-94d3-97eb3756529d&quot;,&quot;itemData&quot;:{&quot;DOI&quot;:&quot;10.1159/000513146&quot;,&quot;ISSN&quot;:&quot;16620631&quot;,&quot;abstract&quot;:&quot;Eosinophilic colitis (EC) belongs to a group of idiopathic diseases called eosinophilic gastrointestinal disorders, which are characterized by eosinophil-predominant inflammation in the gastrointestinal tract. Corticosteroids is the first-line pharmacotherapy for EC refractory to diet therapy. We report an infant with steroid-resistant EC, who successfully returned to a healthy growth trajectory under the combined therapy of montelukast and ketotifen. An 8-month-old boy presented with bloody diarrhea, anemia, and failure to thrive (FTT) that started 6 days after birth. The patient has no known allergies. A trial of elementary diet was unsuccessful. The results of several stool cultures were unremarkable. Similarly, lower gastrointestinal series failed to identify anything significant. At 3 months of age, an esophagogastroduodenoscopy with biopsies from the distal duodenum and proximal jejunum were unremarkable. The diarrhea and FTT persisted. A rectosigmoidoscopy with biopsies was performed; the results led to the diagnosis of EC at 5 months of age. Oral prednisolone 1 mg/kg/day was prescribed; however, 3 months into the treatment, persistent bloody diarrhea and FTT were still noted. Montelukast and ketotifen were added, after which diarrhea and weight gain started to improve. Prednisolone and montelukast/ketotifen were tapered off 6 months after. He remains symptom free and has normal growth and development in a 5-year follow-up.&quot;,&quot;author&quot;:[{&quot;dropping-particle&quot;:&quot;&quot;,&quot;family&quot;:&quot;Wang&quot;,&quot;given&quot;:&quot;Nai Wei&quot;,&quot;non-dropping-particle&quot;:&quot;&quot;,&quot;parse-names&quot;:false,&quot;suffix&quot;:&quot;&quot;},{&quot;dropping-particle&quot;:&quot;&quot;,&quot;family&quot;:&quot;Hsieh&quot;,&quot;given&quot;:&quot;Hsuan&quot;,&quot;non-dropping-particle&quot;:&quot;&quot;,&quot;parse-names&quot;:false,&quot;suffix&quot;:&quot;&quot;},{&quot;dropping-particle&quot;:&quot;&quot;,&quot;family&quot;:&quot;Yang&quot;,&quot;given&quot;:&quot;Yao Jong&quot;,&quot;non-dropping-particle&quot;:&quot;&quot;,&quot;parse-names&quot;:false,&quot;suffix&quot;:&quot;&quot;}],&quot;container-title&quot;:&quot;Case Reports in Gastroenterology&quot;,&quot;id&quot;:&quot;10d8da64-8437-5e4a-94d3-97eb3756529d&quot;,&quot;issue&quot;:&quot;1&quot;,&quot;issued&quot;:{&quot;date-parts&quot;:[[&quot;2021&quot;]]},&quot;page&quot;:&quot;389-394&quot;,&quot;title&quot;:&quot;Successful Montelukast Treatment in an Infant with Steroid-Resistant Eosinophilic Colitis&quot;,&quot;type&quot;:&quot;article-journal&quot;,&quot;volume&quot;:&quot;15&quot;,&quot;container-title-short&quot;:&quot;&quot;},&quot;uris&quot;:[&quot;http://www.mendeley.com/documents/?uuid=8d5007ca-1269-4ef2-a4cf-b9822bfff8f3&quot;],&quot;isTemporary&quot;:false,&quot;legacyDesktopId&quot;:&quot;8d5007ca-1269-4ef2-a4cf-b9822bfff8f3&quot;}]},{&quot;citationID&quot;:&quot;MENDELEY_CITATION_59f67b35-01b8-42eb-a691-4e998bc8da49&quot;,&quot;properties&quot;:{&quot;noteIndex&quot;:0},&quot;isEdited&quot;:false,&quot;manualOverride&quot;:{&quot;citeprocText&quot;:&quot;(Lucendo et al., 2015)&quot;,&quot;isManuallyOverridden&quot;:false,&quot;manualOverrideText&quot;:&quot;&quot;},&quot;citationTag&quot;:&quot;MENDELEY_CITATION_v3_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&quot;,&quot;citationItems&quot;:[{&quot;id&quot;:&quot;c43f5c02-60d9-592f-9876-cb05822d2d27&quot;,&quot;itemData&quot;:{&quot;DOI&quot;:&quot;10.1097/MPG.0000000000000766&quot;,&quot;ISSN&quot;:&quot;15364801&quot;,&quot;PMID&quot;:&quot;25699593&quot;,&quot;abstract&quot;:&quot;Objectives: Various dietary interventions have been used to treat patients with eosinophilic gastroenteritis (EGE). Concrete evidence as to the effectiveness of such treatments in inducing disease remission is, however, lacking. The aim of the study was to systematically review the efficacy of dietary therapies in inducing EGE remission. Methods: We performed a systematic search for the MEDLINE, EMBASE, and SCOPUS libraries for studies investigating the efficacy of dietary interventions (in both histological and symptomatic remission) for children and adults with EGE and colitis. Results: The search yielded 490 references; 30 were included in the review, with most of these references being \&quot;low-quality\&quot; individual cases or short case series. No significant publication bias was found. Elemental diets in children were linked to 75.8% of clinical improvement, but few of these patients underwent a histological evaluation. Allergy-testing results have been used scarcely in EGE. Empiric elimination of allergy-associated foods was the most commonly used option. The variable results in terms of symptom relief, however, were scarcely accompanied by histological confirmation. Clinical and methodological heterogeneity hindered the performance of quantitative summaries for the efficacy of dietary therapies in inducing disease remission. Conclusions: Symptomatic improvements reported for dietary treatment in EGE by most of the available literature are questionable because of the lack of objective evaluation of clinical changes and the very limited assessment of histological remission. Because of the relative lack of well-designed, high-quality studies, the unequivocal use of dietary treatment for patients with EGE and colitis cannot be supported. Further research should be undertaken.&quot;,&quot;author&quot;:[{&quot;dropping-particle&quot;:&quot;&quot;,&quot;family&quot;:&quot;Lucendo&quot;,&quot;given&quot;:&quot;Alfredo J.&quot;,&quot;non-dropping-particle&quot;:&quot;&quot;,&quot;parse-names&quot;:false,&quot;suffix&quot;:&quot;&quot;},{&quot;dropping-particle&quot;:&quot;&quot;,&quot;family&quot;:&quot;Serrano-Montalbán&quot;,&quot;given&quot;:&quot;Beatriz&quot;,&quot;non-dropping-particle&quot;:&quot;&quot;,&quot;parse-names&quot;:false,&quot;suffix&quot;:&quot;&quot;},{&quot;dropping-particle&quot;:&quot;&quot;,&quot;family&quot;:&quot;Arias&quot;,&quot;given&quot;:&quot;Ángel&quot;,&quot;non-dropping-particle&quot;:&quot;&quot;,&quot;parse-names&quot;:false,&quot;suffix&quot;:&quot;&quot;},{&quot;dropping-particle&quot;:&quot;&quot;,&quot;family&quot;:&quot;Redondo&quot;,&quot;given&quot;:&quot;Olga&quot;,&quot;non-dropping-particle&quot;:&quot;&quot;,&quot;parse-names&quot;:false,&quot;suffix&quot;:&quot;&quot;},{&quot;dropping-particle&quot;:&quot;&quot;,&quot;family&quot;:&quot;Tenias&quot;,&quot;given&quot;:&quot;José M.&quot;,&quot;non-dropping-particle&quot;:&quot;&quot;,&quot;parse-names&quot;:false,&quot;suffix&quot;:&quot;&quot;}],&quot;container-title&quot;:&quot;Journal of Pediatric Gastroenterology and Nutrition&quot;,&quot;id&quot;:&quot;c43f5c02-60d9-592f-9876-cb05822d2d27&quot;,&quot;issue&quot;:&quot;1&quot;,&quot;issued&quot;:{&quot;date-parts&quot;:[[&quot;2015&quot;]]},&quot;page&quot;:&quot;56-64&quot;,&quot;title&quot;:&quot;Efficacy of Dietary Treatment for Inducing Disease Remission in Eosinophilic Gastroenteritis&quot;,&quot;type&quot;:&quot;article-journal&quot;,&quot;volume&quot;:&quot;61&quot;,&quot;container-title-short&quot;:&quot;&quot;},&quot;uris&quot;:[&quot;http://www.mendeley.com/documents/?uuid=a6bdbd95-208d-468d-ab30-6ffee4f067a9&quot;],&quot;isTemporary&quot;:false,&quot;legacyDesktopId&quot;:&quot;a6bdbd95-208d-468d-ab30-6ffee4f067a9&quot;}]},{&quot;citationID&quot;:&quot;MENDELEY_CITATION_9d785030-b408-4074-814e-5e094bdee266&quot;,&quot;properties&quot;:{&quot;noteIndex&quot;:0},&quot;isEdited&quot;:false,&quot;manualOverride&quot;:{&quot;citeprocText&quot;:&quot;(Licari et al., 2019)&quot;,&quot;isManuallyOverridden&quot;:false,&quot;manualOverrideText&quot;:&quot;&quot;},&quot;citationTag&quot;:&quot;MENDELEY_CITATION_v3_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&quot;,&quot;citationItems&quot;:[{&quot;id&quot;:&quot;6983f27d-cf13-58c6-9234-2186ba01cfe9&quot;,&quot;itemData&quot;:{&quot;DOI&quot;:&quot;10.2174/1573396315666191022154432&quot;,&quot;ISSN&quot;:&quot;15733963&quot;,&quot;PMID&quot;:&quot;31642786&quot;,&quot;abstract&quot;:&quot;Primary eosinophilic gastrointestinal diseases (EGIDs) represent a heterogeneous  group of disorders characterized by eosinophilic inflammation in the absence of known causes for eosinophilia, selectively affecting different segments of the gastrointestinal tract. While pediatric eosinophilic esophagitis (EoE) is a well-defined disease with established guidelines, Eosinophilic Gastritis (EoG), Eosinophilic Gastroenteritis (EoGE) and Eosinophilic Colitis (EoC) remain a clinical enigma with evidence based on limited anecdotal case reports. Large cross-sectional studies in the US defined a prevalence of EoG and EoGE ranging from 1,5 to 6,4/100.000 and from 2,7 to 8,3/100.000 subjects respectively, while the prevalence of EoC ranges from 1,7 to 3,5/100.000 subjects. Regarding the pathogenesis, it is hypothesized that EGIDs result from the interplay between genetic predisposition, intestinal dysbiosis and environmental triggers. Clinically, EGIDs might present with different and nonspecific gastrointestinal symptoms depending on the involved intestinal tract and the extension of eosinophilic inflammatory infiltrate. The diagnosis of EGIDs requires: 1. recurrent gastrointestinal symptoms, 2. increased eosinophils for high power field in biopsy specimens, 3. absence of secondary causes of gastrointestinal eosinophilia. No validated guidelines are available on the clinical management of patients with EGIDs. Evidence from case reports and small uncontrolled case series suggests the use of dietary and corticosteroids as the first-line treatments. Considering the clinical follow-up of EGIDs, three different patterns of disease course are identified: single flare, recurring course-disease and chronic course-disease. This review will focus on pediatric EGIDs distal to esophagus, including Eosinophilic Gastritis (EoG), Eosinophilic Gastroenteritis (EoGE) and Eosinophilic Colitis (EoC).&quot;,&quot;author&quot;:[{&quot;dropping-particle&quot;:&quot;&quot;,&quot;family&quot;:&quot;Licari&quot;,&quot;given&quot;:&quot;Amelia&quot;,&quot;non-dropping-particle&quot;:&quot;&quot;,&quot;parse-names&quot;:false,&quot;suffix&quot;:&quot;&quot;},{&quot;dropping-particle&quot;:&quot;&quot;,&quot;family&quot;:&quot;Votto&quot;,&quot;given&quot;:&quot;Martina&quot;,&quot;non-dropping-particle&quot;:&quot;&quot;,&quot;parse-names&quot;:false,&quot;suffix&quot;:&quot;&quot;},{&quot;dropping-particle&quot;:&quot;&quot;,&quot;family&quot;:&quot;D’Auria&quot;,&quot;given&quot;:&quot;Enza&quot;,&quot;non-dropping-particle&quot;:&quot;&quot;,&quot;parse-names&quot;:false,&quot;suffix&quot;:&quot;&quot;},{&quot;dropping-particle&quot;:&quot;&quot;,&quot;family&quot;:&quot;Castagnoli&quot;,&quot;given&quot;:&quot;Riccardo&quot;,&quot;non-dropping-particle&quot;:&quot;&quot;,&quot;parse-names&quot;:false,&quot;suffix&quot;:&quot;&quot;},{&quot;dropping-particle&quot;:&quot;&quot;,&quot;family&quot;:&quot;Caimmi&quot;,&quot;given&quot;:&quot;Silvia Maria Elena&quot;,&quot;non-dropping-particle&quot;:&quot;&quot;,&quot;parse-names&quot;:false,&quot;suffix&quot;:&quot;&quot;},{&quot;dropping-particle&quot;:&quot;&quot;,&quot;family&quot;:&quot;Marseglia&quot;,&quot;given&quot;:&quot;Gian Luigi&quot;,&quot;non-dropping-particle&quot;:&quot;&quot;,&quot;parse-names&quot;:false,&quot;suffix&quot;:&quot;&quot;}],&quot;container-title&quot;:&quot;Current Pediatric Reviews&quot;,&quot;id&quot;:&quot;6983f27d-cf13-58c6-9234-2186ba01cfe9&quot;,&quot;issue&quot;:&quot;2&quot;,&quot;issued&quot;:{&quot;date-parts&quot;:[[&quot;2019&quot;]]},&quot;page&quot;:&quot;106-114&quot;,&quot;title&quot;:&quot;Eosinophilic Gastrointestinal Diseases in Children: A Practical Review&quot;,&quot;type&quot;:&quot;article-journal&quot;,&quot;volume&quot;:&quot;16&quot;,&quot;container-title-short&quot;:&quot;&quot;},&quot;uris&quot;:[&quot;http://www.mendeley.com/documents/?uuid=cf2fb730-3f4b-43a6-94b7-5afddd5750b2&quot;],&quot;isTemporary&quot;:false,&quot;legacyDesktopId&quot;:&quot;cf2fb730-3f4b-43a6-94b7-5afddd5750b2&quot;}]},{&quot;citationID&quot;:&quot;MENDELEY_CITATION_cc6da5bb-126f-4ed5-99f0-9425792fac3a&quot;,&quot;properties&quot;:{&quot;noteIndex&quot;:0},&quot;isEdited&quot;:false,&quot;manualOverride&quot;:{&quot;citeprocText&quot;:&quot;(Magro et al., 2020)&quot;,&quot;isManuallyOverridden&quot;:false,&quot;manualOverrideText&quot;:&quot;&quot;},&quot;citationTag&quot;:&quot;MENDELEY_CITATION_v3_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&quot;,&quot;citationItems&quot;:[{&quot;id&quot;:&quot;3c0f0b47-eb0c-5ede-9814-f817a2786dbc&quot;,&quot;itemData&quot;:{&quot;DOI&quot;:&quot;10.1016/j.phrs.2020.105075&quot;,&quot;ISSN&quot;:&quot;10961186&quot;,&quot;PMID&quot;:&quot;32653651&quot;,&quot;abstract&quot;:&quot;Nowadays, non-biological treatments remain valuable approaches among the therapeutic armamentarium of inflammatory bowel disease (IBD). Mesalamine is the core treatment of mild‑to‑moderate ulcerative colitis (UC) and corticosteroids are crucial for the induction of remission of moderate‑to‑severe flares in both UC and Crohn's disease (CD). Even approaches as cyclosporine, tacrolimus, azathioprine, methotrexate, and surgery still have a nuclear position as strategies to induce and/or maintain remission in IBD. Due to their particularities and to the accumulated evidence, each of these strategies conquered peculiar roles in the overall IBD strategy, all of them contributing to better outcomes. This review emphasizes the particular roles that non-biological treatments gained over time: recent mesalamine formulations to increase adhesion rates, higher doses of 5-ASA for high-risk patients, MMX technology to improve drug release and attain higher bowel concentrations, cyclosporine as a bridge to vedolizumab, tacrolimus as a potential alternative to thiopurines or infliximab, azathioprine in combination therapy with infliximab and dubious in monotherapy, and surgery as a mean to a “better end”.&quot;,&quot;author&quot;:[{&quot;dropping-particle&quot;:&quot;&quot;,&quot;family&quot;:&quot;Magro&quot;,&quot;given&quot;:&quot;Fernando&quot;,&quot;non-dropping-particle&quot;:&quot;&quot;,&quot;parse-names&quot;:false,&quot;suffix&quot;:&quot;&quot;},{&quot;dropping-particle&quot;:&quot;&quot;,&quot;family&quot;:&quot;Cordeiro&quot;,&quot;given&quot;:&quot;Gonçalo&quot;,&quot;non-dropping-particle&quot;:&quot;&quot;,&quot;parse-names&quot;:false,&quot;suffix&quot;:&quot;&quot;},{&quot;dropping-particle&quot;:&quot;&quot;,&quot;family&quot;:&quot;Dias&quot;,&quot;given&quot;:&quot;Andreia Martins&quot;,&quot;non-dropping-particle&quot;:&quot;&quot;,&quot;parse-names&quot;:false,&quot;suffix&quot;:&quot;&quot;},{&quot;dropping-particle&quot;:&quot;&quot;,&quot;family&quot;:&quot;Estevinho&quot;,&quot;given&quot;:&quot;Maria Manuela&quot;,&quot;non-dropping-particle&quot;:&quot;&quot;,&quot;parse-names&quot;:false,&quot;suffix&quot;:&quot;&quot;}],&quot;container-title&quot;:&quot;Pharmacological Research&quot;,&quot;id&quot;:&quot;3c0f0b47-eb0c-5ede-9814-f817a2786dbc&quot;,&quot;issued&quot;:{&quot;date-parts&quot;:[[&quot;2020&quot;]]},&quot;title&quot;:&quot;Inflammatory Bowel Disease – Non-biological treatment&quot;,&quot;type&quot;:&quot;article-journal&quot;,&quot;volume&quot;:&quot;160&quot;,&quot;container-title-short&quot;:&quot;&quot;},&quot;uris&quot;:[&quot;http://www.mendeley.com/documents/?uuid=000b3db4-4112-4e2a-bc78-401f77a903c5&quot;],&quot;isTemporary&quot;:false,&quot;legacyDesktopId&quot;:&quot;000b3db4-4112-4e2a-bc78-401f77a903c5&quot;}]},{&quot;citationID&quot;:&quot;MENDELEY_CITATION_423c0a5f-03b7-41f8-adda-7c1d8d73d341&quot;,&quot;properties&quot;:{&quot;noteIndex&quot;:0},&quot;isEdited&quot;:false,&quot;manualOverride&quot;:{&quot;citeprocText&quot;:&quot;(Herbada et al., 2021)&quot;,&quot;isManuallyOverridden&quot;:false,&quot;manualOverrideText&quot;:&quot;&quot;},&quot;citationTag&quot;:&quot;MENDELEY_CITATION_v3_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&quot;,&quot;citationItems&quot;:[{&quot;id&quot;:&quot;1cfa9a4b-287c-5724-8a48-e1043f18b639&quot;,&quot;itemData&quot;:{&quot;DOI&quot;:&quot;10.1016/j.ijpharm.2021.121121&quot;,&quot;ISSN&quot;:&quot;18733476&quot;,&quot;PMID&quot;:&quot;34560203&quot;,&quot;abstract&quot;:&quot;The objective of this work was to evaluate the potential use of a new polymer (PAMgA) in the development sustained release matrix tablets for the treatment of bowel inflammatory diseases. For this purpose, budesonide, a highly lipophilic compound, was used as model drug. Tablets with two reticulation grades of PAMgA (PAMgA 5 and 40) and with 9 mg of budesonide were developed and characterized. All the studies were carried out using biorelevant media (FaSSGF and FaSSIF). Swelling and erosion of PAMgA tablets was influenced by the reticulation grade of the polymer and the biorelevant media assayed, being water uptake higher for PAMgA 40 tablets in intestinal fluid, whereas PAMgA 5 showed more intense erosion in this biorelevant medium. Budesonide was released slowly from PAMgA tablets, both in gastric and intestinal environment, following Super case II transport kinetics (relaxation-controlled delivery), with a lag time of around 1–2 h. When the dissolution medium was changed sequentially throughout the trial, 75% of the budesonide dose was released in a sustained manner between 4 and 20 h of testing from PAMgA tablets, showing a more controlled budesonide release than Entocort® and Budenofalk® (commercially available sustained release formulations of budesonide). In conclusion, PAMgA polymer allows controlling the release of highly lipophilic drugs as budesonide, being an useful excipient for the development of sustained release matrix tablets.&quot;,&quot;author&quot;:[{&quot;dropping-particle&quot;:&quot;&quot;,&quot;family&quot;:&quot;Herbada&quot;,&quot;given&quot;:&quot;Rebeca Simancas&quot;,&quot;non-dropping-particle&quot;:&quot;&quot;,&quot;parse-names&quot;:false,&quot;suffix&quot;:&quot;&quot;},{&quot;dropping-particle&quot;:&quot;&quot;,&quot;family&quot;:&quot;Torres-Suárez&quot;,&quot;given&quot;:&quot;Ana Isabel&quot;,&quot;non-dropping-particle&quot;:&quot;&quot;,&quot;parse-names&quot;:false,&quot;suffix&quot;:&quot;&quot;},{&quot;dropping-particle&quot;:&quot;&quot;,&quot;family&quot;:&quot;Otero-Espinar&quot;,&quot;given&quot;:&quot;Francisco J.&quot;,&quot;non-dropping-particle&quot;:&quot;&quot;,&quot;parse-names&quot;:false,&quot;suffix&quot;:&quot;&quot;},{&quot;dropping-particle&quot;:&quot;&quot;,&quot;family&quot;:&quot;Fraguas-Sanchez&quot;,&quot;given&quot;:&quot;Ana Isabel&quot;,&quot;non-dropping-particle&quot;:&quot;&quot;,&quot;parse-names&quot;:false,&quot;suffix&quot;:&quot;&quot;},{&quot;dropping-particle&quot;:&quot;&quot;,&quot;family&quot;:&quot;Lopez-Cabarcos&quot;,&quot;given&quot;:&quot;Enrique&quot;,&quot;non-dropping-particle&quot;:&quot;&quot;,&quot;parse-names&quot;:false,&quot;suffix&quot;:&quot;&quot;},{&quot;dropping-particle&quot;:&quot;&quot;,&quot;family&quot;:&quot;Rubio-Retama&quot;,&quot;given&quot;:&quot;Jorge&quot;,&quot;non-dropping-particle&quot;:&quot;&quot;,&quot;parse-names&quot;:false,&quot;suffix&quot;:&quot;&quot;},{&quot;dropping-particle&quot;:&quot;&quot;,&quot;family&quot;:&quot;Fernández-Carballido&quot;,&quot;given&quot;:&quot;Ana&quot;,&quot;non-dropping-particle&quot;:&quot;&quot;,&quot;parse-names&quot;:false,&quot;suffix&quot;:&quot;&quot;}],&quot;container-title&quot;:&quot;International Journal of Pharmaceutics&quot;,&quot;id&quot;:&quot;1cfa9a4b-287c-5724-8a48-e1043f18b639&quot;,&quot;issued&quot;:{&quot;date-parts&quot;:[[&quot;2021&quot;]]},&quot;title&quot;:&quot;Matrix tablets based on a novel poly (magnesium acrylate) hydrogel for the treatment of inflammatory bowel diseases&quot;,&quot;type&quot;:&quot;article-journal&quot;,&quot;volume&quot;:&quot;608&quot;,&quot;container-title-short&quot;:&quot;&quot;},&quot;uris&quot;:[&quot;http://www.mendeley.com/documents/?uuid=c6cd8d09-ce5f-4321-8e70-ff91700f77d9&quot;],&quot;isTemporary&quot;:false,&quot;legacyDesktopId&quot;:&quot;c6cd8d09-ce5f-4321-8e70-ff91700f77d9&quot;}]},{&quot;citationID&quot;:&quot;MENDELEY_CITATION_fc90c24d-ff19-44ae-9ea2-83d599f2156d&quot;,&quot;properties&quot;:{&quot;noteIndex&quot;:0},&quot;isEdited&quot;:false,&quot;manualOverride&quot;:{&quot;citeprocText&quot;:&quot;(Yan et al., 2019)&quot;,&quot;isManuallyOverridden&quot;:false,&quot;manualOverrideText&quot;:&quot;&quot;},&quot;citationTag&quot;:&quot;MENDELEY_CITATION_v3_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&quot;,&quot;citationItems&quot;:[{&quot;id&quot;:&quot;21a19e9e-7314-5485-bc9c-82f2a886afaf&quot;,&quot;itemData&quot;:{&quot;DOI&quot;:&quot;10.2147/DDDT.S192348&quot;,&quot;ISSN&quot;:&quot;11778881&quot;,&quot;PMID&quot;:&quot;30858698&quot;,&quot;abstract&quot;:&quot;Purpose: Budesonide (Bud) is a nonhalogenated glucocorticoid with high anti-inflammatory potency and low systemic side effects. However, the poor water solubility of Bud affects its dissolution and release behavior, thus influencing its anti-inflammatory effect. This study was aimed at synthesizing and evaluating novel conjugates of Bud, hoping to increase the antiinflammatory activity of Bud by improving its water solubility. Materials and methods: Seven novel Bud conjugates (3a-3g) were designed and synthesized in this study. Besides, the equilibrium solubility, cell viability, in vitro and in vivo antiinflammatory activity, and the hydrolysis behavior of the conjugates in different pH solutions, rat and human plasma, and rat lung homogenate were studied in detail. Results: As compared to Bud, the equilibrium solubility of 3a, 3c, and 3e was significantly increased; 3a, 3b, and 3c significantly inhibited the interleukin-6 production in lipopolysaccharide-induced A549 cells; 3a and 3e could significantly decrease the xyleneinduced ear edema; and 3a and 3c were gradually and slowly hydrolyzed into Bud in the alveolar fluid and lung homogenate and broken down quickly in plasma. Conclusion: The amino acid ester compounds budesonide-21-glycine ester (3a) and budesonide- 21-alanine ester (3c) were selected as potential conjugates of Bud. This study would provide a theoretical and an experimental basis for the in vivo process of glucocorticoids and the treatment of inflammatory diseases.&quot;,&quot;author&quot;:[{&quot;dropping-particle&quot;:&quot;&quot;,&quot;family&quot;:&quot;Yan&quot;,&quot;given&quot;:&quot;Yan&quot;,&quot;non-dropping-particle&quot;:&quot;&quot;,&quot;parse-names&quot;:false,&quot;suffix&quot;:&quot;&quot;},{&quot;dropping-particle&quot;:&quot;&quot;,&quot;family&quot;:&quot;Wang&quot;,&quot;given&quot;:&quot;Pengchong&quot;,&quot;non-dropping-particle&quot;:&quot;&quot;,&quot;parse-names&quot;:false,&quot;suffix&quot;:&quot;&quot;},{&quot;dropping-particle&quot;:&quot;&quot;,&quot;family&quot;:&quot;Li&quot;,&quot;given&quot;:&quot;Ruiying&quot;,&quot;non-dropping-particle&quot;:&quot;&quot;,&quot;parse-names&quot;:false,&quot;suffix&quot;:&quot;&quot;},{&quot;dropping-particle&quot;:&quot;&quot;,&quot;family&quot;:&quot;Sun&quot;,&quot;given&quot;:&quot;Ying&quot;,&quot;non-dropping-particle&quot;:&quot;&quot;,&quot;parse-names&quot;:false,&quot;suffix&quot;:&quot;&quot;},{&quot;dropping-particle&quot;:&quot;&quot;,&quot;family&quot;:&quot;Zhang&quot;,&quot;given&quot;:&quot;Rui&quot;,&quot;non-dropping-particle&quot;:&quot;&quot;,&quot;parse-names&quot;:false,&quot;suffix&quot;:&quot;&quot;},{&quot;dropping-particle&quot;:&quot;&quot;,&quot;family&quot;:&quot;Huo&quot;,&quot;given&quot;:&quot;Chuanchuan&quot;,&quot;non-dropping-particle&quot;:&quot;&quot;,&quot;parse-names&quot;:false,&quot;suffix&quot;:&quot;&quot;},{&quot;dropping-particle&quot;:&quot;&quot;,&quot;family&quot;:&quot;Xing&quot;,&quot;given&quot;:&quot;Jianfeng&quot;,&quot;non-dropping-particle&quot;:&quot;&quot;,&quot;parse-names&quot;:false,&quot;suffix&quot;:&quot;&quot;},{&quot;dropping-particle&quot;:&quot;&quot;,&quot;family&quot;:&quot;Dong&quot;,&quot;given&quot;:&quot;Yalin&quot;,&quot;non-dropping-particle&quot;:&quot;&quot;,&quot;parse-names&quot;:false,&quot;suffix&quot;:&quot;&quot;}],&quot;container-title&quot;:&quot;Drug Design, Development and Therapy&quot;,&quot;id&quot;:&quot;21a19e9e-7314-5485-bc9c-82f2a886afaf&quot;,&quot;issued&quot;:{&quot;date-parts&quot;:[[&quot;2019&quot;]]},&quot;page&quot;:&quot;681-694&quot;,&quot;title&quot;:&quot;Synthesis of budesonide conjugates and their anti-inflammatory effects: A preliminary study&quot;,&quot;type&quot;:&quot;article-journal&quot;,&quot;volume&quot;:&quot;13&quot;,&quot;container-title-short&quot;:&quot;&quot;},&quot;uris&quot;:[&quot;http://www.mendeley.com/documents/?uuid=3bee3e7e-ad70-4161-a76b-9f3d54229617&quot;],&quot;isTemporary&quot;:false,&quot;legacyDesktopId&quot;:&quot;3bee3e7e-ad70-4161-a76b-9f3d54229617&quot;}]},{&quot;citationID&quot;:&quot;MENDELEY_CITATION_51c1bb56-c152-49d4-9314-a8ea7e9643bb&quot;,&quot;properties&quot;:{&quot;noteIndex&quot;:0},&quot;isEdited&quot;:false,&quot;manualOverride&quot;:{&quot;citeprocText&quot;:&quot;(Laquintana et al., 2019a)&quot;,&quot;isManuallyOverridden&quot;:false,&quot;manualOverrideText&quot;:&quot;&quot;},&quot;citationTag&quot;:&quot;MENDELEY_CITATION_v3_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&quot;,&quot;citationItems&quot;:[{&quot;id&quot;:&quot;aae06825-c1d7-5bf5-b151-4e4cfebf510f&quot;,&quot;itemData&quot;:{&quot;DOI&quot;:&quot;10.1016/j.ijpharm.2019.118820&quot;,&quot;ISSN&quot;:&quot;18733476&quot;,&quot;PMID&quot;:&quot;31706864&quot;,&quot;abstract&quot;:&quot;Budesonide (BUD) is a low water soluble (S0 = 5.028·10−5 M) corticosteroid used as preferred therapy for the treatment of Eosinophilic Esophagitis (EoE), a chronic allergic-immune condition with an increased incidence in the paediatric population. Currently there are no commercial medicines indicated for EoE, and, therefore, in the hospital pharmacy the BUD is extemporaneously formulated as viscous oral suspension at the initial dose of 1–2 mg per day for children, highlighting the need of a mucoadhesive drug delivery system (MDDS) that adheres to the site of action and prolongs the therapeutic activity of the administered drug. Considering the ability of hydroxypropyl-β-cyclodextrin (HP-β-CD, 100 mM) to increase the water solubility of BUD (SHP-β-CD = 4.3·10−3 M; K1:1 = 861.11 M−1), a mucoadhesive thiolated HP-β-CD (HP-β-CD-SH) was synthesized and characterized by mass spectroscopy, 1H- and 13C NMR techniques. Phase-solubility studies demonstrated the capability of HP-β-CD-SH (100 mM) to form a reversible water soluble inclusion complex with BUD (SHP-β-CD-SH = 10.9·10−3 M; K1:1 = 2013.52 M−1), which increases its permanence on the target site as proved by mucoadhesive studies on porcine oesophagus mucosa. HP-β-CD-SH might be a useful MDDS for the pharmacist to prepare BUD oral liquid formulations at the recommended doses, with pH values below 5, which guarantee the chemical stability of the new mucoadhesive excipient.&quot;,&quot;author&quot;:[{&quot;dropping-particle&quot;:&quot;&quot;,&quot;family&quot;:&quot;Laquintana&quot;,&quot;given&quot;:&quot;Valentino&quot;,&quot;non-dropping-particle&quot;:&quot;&quot;,&quot;parse-names&quot;:false,&quot;suffix&quot;:&quot;&quot;},{&quot;dropping-particle&quot;:&quot;&quot;,&quot;family&quot;:&quot;Asim&quot;,&quot;given&quot;:&quot;Mulazim Hussain&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Bernkop-Schnürch&quot;,&quot;given&quot;:&quot;Andreas&quot;,&quot;non-dropping-particle&quot;:&quot;&quot;,&quot;parse-names&quot;:false,&quot;suffix&quot;:&quot;&quot;},{&quot;dropping-particle&quot;:&quot;&quot;,&quot;family&quot;:&quot;Denora&quot;,&quot;given&quot;:&quot;Nunzio&quot;,&quot;non-dropping-particle&quot;:&quot;&quot;,&quot;parse-names&quot;:false,&quot;suffix&quot;:&quot;&quot;}],&quot;container-title&quot;:&quot;International Journal of Pharmaceutics&quot;,&quot;id&quot;:&quot;aae06825-c1d7-5bf5-b151-4e4cfebf510f&quot;,&quot;issue&quot;:&quot;November&quot;,&quot;issued&quot;:{&quot;date-parts&quot;:[[&quot;2019&quot;]]},&quot;page&quot;:&quot;118820&quot;,&quot;publisher&quot;:&quot;Elsevier&quot;,&quot;title&quot;:&quot;Thiolated hydroxypropyl-β-cyclodextrin as mucoadhesive excipient for oral delivery of budesonide in liquid paediatric formulation&quot;,&quot;type&quot;:&quot;article-journal&quot;,&quot;volume&quot;:&quot;572&quot;,&quot;container-title-short&quot;:&quot;&quot;},&quot;uris&quot;:[&quot;http://www.mendeley.com/documents/?uuid=e2c4de31-a1b5-432f-9ebf-f8ad7d811a6d&quot;],&quot;isTemporary&quot;:false,&quot;legacyDesktopId&quot;:&quot;e2c4de31-a1b5-432f-9ebf-f8ad7d811a6d&quot;}]},{&quot;citationID&quot;:&quot;MENDELEY_CITATION_5c73e9ff-8160-4657-8978-eda7b2658853&quot;,&quot;properties&quot;:{&quot;noteIndex&quot;:0},&quot;isEdited&quot;:false,&quot;manualOverride&quot;:{&quot;citeprocText&quot;:&quot;(Herbada et al., 2021)&quot;,&quot;isManuallyOverridden&quot;:false,&quot;manualOverrideText&quot;:&quot;&quot;},&quot;citationTag&quot;:&quot;MENDELEY_CITATION_v3_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&quot;,&quot;citationItems&quot;:[{&quot;id&quot;:&quot;1cfa9a4b-287c-5724-8a48-e1043f18b639&quot;,&quot;itemData&quot;:{&quot;DOI&quot;:&quot;10.1016/j.ijpharm.2021.121121&quot;,&quot;ISSN&quot;:&quot;18733476&quot;,&quot;PMID&quot;:&quot;34560203&quot;,&quot;abstract&quot;:&quot;The objective of this work was to evaluate the potential use of a new polymer (PAMgA) in the development sustained release matrix tablets for the treatment of bowel inflammatory diseases. For this purpose, budesonide, a highly lipophilic compound, was used as model drug. Tablets with two reticulation grades of PAMgA (PAMgA 5 and 40) and with 9 mg of budesonide were developed and characterized. All the studies were carried out using biorelevant media (FaSSGF and FaSSIF). Swelling and erosion of PAMgA tablets was influenced by the reticulation grade of the polymer and the biorelevant media assayed, being water uptake higher for PAMgA 40 tablets in intestinal fluid, whereas PAMgA 5 showed more intense erosion in this biorelevant medium. Budesonide was released slowly from PAMgA tablets, both in gastric and intestinal environment, following Super case II transport kinetics (relaxation-controlled delivery), with a lag time of around 1–2 h. When the dissolution medium was changed sequentially throughout the trial, 75% of the budesonide dose was released in a sustained manner between 4 and 20 h of testing from PAMgA tablets, showing a more controlled budesonide release than Entocort® and Budenofalk® (commercially available sustained release formulations of budesonide). In conclusion, PAMgA polymer allows controlling the release of highly lipophilic drugs as budesonide, being an useful excipient for the development of sustained release matrix tablets.&quot;,&quot;author&quot;:[{&quot;dropping-particle&quot;:&quot;&quot;,&quot;family&quot;:&quot;Herbada&quot;,&quot;given&quot;:&quot;Rebeca Simancas&quot;,&quot;non-dropping-particle&quot;:&quot;&quot;,&quot;parse-names&quot;:false,&quot;suffix&quot;:&quot;&quot;},{&quot;dropping-particle&quot;:&quot;&quot;,&quot;family&quot;:&quot;Torres-Suárez&quot;,&quot;given&quot;:&quot;Ana Isabel&quot;,&quot;non-dropping-particle&quot;:&quot;&quot;,&quot;parse-names&quot;:false,&quot;suffix&quot;:&quot;&quot;},{&quot;dropping-particle&quot;:&quot;&quot;,&quot;family&quot;:&quot;Otero-Espinar&quot;,&quot;given&quot;:&quot;Francisco J.&quot;,&quot;non-dropping-particle&quot;:&quot;&quot;,&quot;parse-names&quot;:false,&quot;suffix&quot;:&quot;&quot;},{&quot;dropping-particle&quot;:&quot;&quot;,&quot;family&quot;:&quot;Fraguas-Sanchez&quot;,&quot;given&quot;:&quot;Ana Isabel&quot;,&quot;non-dropping-particle&quot;:&quot;&quot;,&quot;parse-names&quot;:false,&quot;suffix&quot;:&quot;&quot;},{&quot;dropping-particle&quot;:&quot;&quot;,&quot;family&quot;:&quot;Lopez-Cabarcos&quot;,&quot;given&quot;:&quot;Enrique&quot;,&quot;non-dropping-particle&quot;:&quot;&quot;,&quot;parse-names&quot;:false,&quot;suffix&quot;:&quot;&quot;},{&quot;dropping-particle&quot;:&quot;&quot;,&quot;family&quot;:&quot;Rubio-Retama&quot;,&quot;given&quot;:&quot;Jorge&quot;,&quot;non-dropping-particle&quot;:&quot;&quot;,&quot;parse-names&quot;:false,&quot;suffix&quot;:&quot;&quot;},{&quot;dropping-particle&quot;:&quot;&quot;,&quot;family&quot;:&quot;Fernández-Carballido&quot;,&quot;given&quot;:&quot;Ana&quot;,&quot;non-dropping-particle&quot;:&quot;&quot;,&quot;parse-names&quot;:false,&quot;suffix&quot;:&quot;&quot;}],&quot;container-title&quot;:&quot;International Journal of Pharmaceutics&quot;,&quot;id&quot;:&quot;1cfa9a4b-287c-5724-8a48-e1043f18b639&quot;,&quot;issued&quot;:{&quot;date-parts&quot;:[[&quot;2021&quot;]]},&quot;title&quot;:&quot;Matrix tablets based on a novel poly (magnesium acrylate) hydrogel for the treatment of inflammatory bowel diseases&quot;,&quot;type&quot;:&quot;article-journal&quot;,&quot;volume&quot;:&quot;608&quot;,&quot;container-title-short&quot;:&quot;&quot;},&quot;uris&quot;:[&quot;http://www.mendeley.com/documents/?uuid=c6cd8d09-ce5f-4321-8e70-ff91700f77d9&quot;],&quot;isTemporary&quot;:false,&quot;legacyDesktopId&quot;:&quot;c6cd8d09-ce5f-4321-8e70-ff91700f77d9&quot;}]},{&quot;citationID&quot;:&quot;MENDELEY_CITATION_431f12a1-26b2-4158-a674-bbf622bbb8f0&quot;,&quot;properties&quot;:{&quot;noteIndex&quot;:0},&quot;isEdited&quot;:false,&quot;manualOverride&quot;:{&quot;citeprocText&quot;:&quot;(Gareb et al., 2019)&quot;,&quot;isManuallyOverridden&quot;:false,&quot;manualOverrideText&quot;:&quot;&quot;},&quot;citationTag&quot;:&quot;MENDELEY_CITATION_v3_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&quot;,&quot;citationItems&quot;:[{&quot;id&quot;:&quot;dfb53509-097e-5f8f-90d3-974448b835b1&quot;,&quot;itemData&quot;:{&quot;DOI&quot;:&quot;10.1016/j.ijpharm.2018.11.019&quot;,&quot;ISSN&quot;:&quot;18733476&quot;,&quot;PMID&quot;:&quot;30414898&quot;,&quot;abstract&quot;:&quot;Up to 50% of Crohn's disease and ulcerative colitis patients suffer from ileo-colonic inflammation. Topically delivered budesonide is an effective treatment but in vitro as well as clinical data suggest that oral formulations currently used in clinical practice are not optimal to treat the ileo-colon. The aim of this in vitro study was to develop ileo-colonic-targeted zero-order sustained-release tablets containing 3 mg or 9 mg budesonide. Targeted delivery was achieved by coating the tablets with the ColoPulse technology (ColoPulse 3 mg or ColoPulse 9 mg, respectively). Tablets were tested in a 10-h gastrointestinal simulation system for site-specific release, zero-order release kinetics (R 2 ≥ 0.950), release rate, and completeness of release (≥80%). Release profiles of the novel formulations were compared with Entocort, Budenofalk, and Cortiment (budesonide MMX). ColoPulse 3 mg and 9 mg were targeted to the simulated ileo-colon, budesonide release was complete and in a sustained zero-order manner, and both formulations complied with a 6-month accelerated stability study. None of the formulations currently used in clinical practice targeted the ileo-colon. These in vitro results are discussed in light of clinical data. ColoPulse 3 mg and 9 mg are novel interesting formulations for the treatment of the entire ileo-colon in inflammatory bowel disease.&quot;,&quot;author&quot;:[{&quot;dropping-particle&quot;:&quot;&quot;,&quot;family&quot;:&quot;Gareb&quot;,&quot;given&quot;:&quot;Bahez&quot;,&quot;non-dropping-particle&quot;:&quot;&quot;,&quot;parse-names&quot;:false,&quot;suffix&quot;:&quot;&quot;},{&quot;dropping-particle&quot;:&quot;&quot;,&quot;family&quot;:&quot;Dijkstra&quot;,&quot;given&quot;:&quot;Gerard&quot;,&quot;non-dropping-particle&quot;:&quot;&quot;,&quot;parse-names&quot;:false,&quot;suffix&quot;:&quot;&quot;},{&quot;dropping-particle&quot;:&quot;&quot;,&quot;family&quot;:&quot;Kosterink&quot;,&quot;given&quot;:&quot;Jos G.W.&quot;,&quot;non-dropping-particle&quot;:&quot;&quot;,&quot;parse-names&quot;:false,&quot;suffix&quot;:&quot;&quot;},{&quot;dropping-particle&quot;:&quot;&quot;,&quot;family&quot;:&quot;Frijlink&quot;,&quot;given&quot;:&quot;Henderik W.&quot;,&quot;non-dropping-particle&quot;:&quot;&quot;,&quot;parse-names&quot;:false,&quot;suffix&quot;:&quot;&quot;}],&quot;container-title&quot;:&quot;International Journal of Pharmaceutics&quot;,&quot;id&quot;:&quot;dfb53509-097e-5f8f-90d3-974448b835b1&quot;,&quot;issued&quot;:{&quot;date-parts&quot;:[[&quot;2019&quot;]]},&quot;page&quot;:&quot;366-375&quot;,&quot;title&quot;:&quot;Development of novel zero-order release budesonide tablets for the treatment of ileo-colonic inflammatory bowel disease and comparison with formulations currently used in clinical practice&quot;,&quot;type&quot;:&quot;article-journal&quot;,&quot;volume&quot;:&quot;554&quot;,&quot;container-title-short&quot;:&quot;&quot;},&quot;uris&quot;:[&quot;http://www.mendeley.com/documents/?uuid=cb4b409c-5191-4fb4-858f-5b2733d33826&quot;],&quot;isTemporary&quot;:false,&quot;legacyDesktopId&quot;:&quot;cb4b409c-5191-4fb4-858f-5b2733d33826&quot;}]},{&quot;citationID&quot;:&quot;MENDELEY_CITATION_83f2ca53-51da-42ff-92a4-4aff142c593a&quot;,&quot;properties&quot;:{&quot;noteIndex&quot;:0},&quot;isEdited&quot;:false,&quot;manualOverride&quot;:{&quot;citeprocText&quot;:&quot;(Moghimipour et al., 2018)&quot;,&quot;isManuallyOverridden&quot;:false,&quot;manualOverrideText&quot;:&quot;&quot;},&quot;citationTag&quot;:&quot;MENDELEY_CITATION_v3_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&quot;,&quot;citationItems&quot;:[{&quot;id&quot;:&quot;928692c5-f894-5953-82eb-c63c106d17ff&quot;,&quot;itemData&quot;:{&quot;DOI&quot;:&quot;10.1080/03639045.2017.1415927&quot;,&quot;ISSN&quot;:&quot;15205762&quot;,&quot;PMID&quot;:&quot;29235889&quot;,&quot;abstract&quot;:&quot;The aim of the present research was to evaluate the impact of coating layers on release profile from enteric coated dosage forms. Capsules were coated with Eudragit FS 30D using dipping method. The drug profile was evaluated in both phosphate buffer and Hank’s solutions. Utilization X-ray imaging, gastrointestinal transmission of enteric coated capsules was traced in rats. According to the results, no release of the drug was found at pH 1.2, and the extent of release drug in pH 6.8 medium was decreased by adding the coating layers. The results indicated single-layer coated capsules in phosphate buffer were significantly higher than that in Hank’s solution. However, no significant difference was observed from capsules with three coating layers in two different dissolution media. X-ray imaging showed that enteric coated capsules were intact in the stomach and in the small intestine, while disintegrated in the colon.&quot;,&quot;author&quot;:[{&quot;dropping-particle&quot;:&quot;&quot;,&quot;family&quot;:&quot;Moghimipour&quot;,&quot;given&quot;:&quot;Eskandar&quot;,&quot;non-dropping-particle&quot;:&quot;&quot;,&quot;parse-names&quot;:false,&quot;suffix&quot;:&quot;&quot;},{&quot;dropping-particle&quot;:&quot;&quot;,&quot;family&quot;:&quot;Rezaei&quot;,&quot;given&quot;:&quot;Mohsen&quot;,&quot;non-dropping-particle&quot;:&quot;&quot;,&quot;parse-names&quot;:false,&quot;suffix&quot;:&quot;&quot;},{&quot;dropping-particle&quot;:&quot;&quot;,&quot;family&quot;:&quot;Kouchak&quot;,&quot;given&quot;:&quot;Maryam&quot;,&quot;non-dropping-particle&quot;:&quot;&quot;,&quot;parse-names&quot;:false,&quot;suffix&quot;:&quot;&quot;},{&quot;dropping-particle&quot;:&quot;&quot;,&quot;family&quot;:&quot;Fatahiasl&quot;,&quot;given&quot;:&quot;Jafar&quot;,&quot;non-dropping-particle&quot;:&quot;&quot;,&quot;parse-names&quot;:false,&quot;suffix&quot;:&quot;&quot;},{&quot;dropping-particle&quot;:&quot;&quot;,&quot;family&quot;:&quot;Angali&quot;,&quot;given&quot;:&quot;Kambiz Ahmadi&quot;,&quot;non-dropping-particle&quot;:&quot;&quot;,&quot;parse-names&quot;:false,&quot;suffix&quot;:&quot;&quot;},{&quot;dropping-particle&quot;:&quot;&quot;,&quot;family&quot;:&quot;Ramezani&quot;,&quot;given&quot;:&quot;Zahra&quot;,&quot;non-dropping-particle&quot;:&quot;&quot;,&quot;parse-names&quot;:false,&quot;suffix&quot;:&quot;&quot;},{&quot;dropping-particle&quot;:&quot;&quot;,&quot;family&quot;:&quot;Amini&quot;,&quot;given&quot;:&quot;Mohsen&quot;,&quot;non-dropping-particle&quot;:&quot;&quot;,&quot;parse-names&quot;:false,&quot;suffix&quot;:&quot;&quot;},{&quot;dropping-particle&quot;:&quot;&quot;,&quot;family&quot;:&quot;Dorkoosh&quot;,&quot;given&quot;:&quot;Farid Abedin&quot;,&quot;non-dropping-particle&quot;:&quot;&quot;,&quot;parse-names&quot;:false,&quot;suffix&quot;:&quot;&quot;},{&quot;dropping-particle&quot;:&quot;&quot;,&quot;family&quot;:&quot;Handali&quot;,&quot;given&quot;:&quot;Somayeh&quot;,&quot;non-dropping-particle&quot;:&quot;&quot;,&quot;parse-names&quot;:false,&quot;suffix&quot;:&quot;&quot;}],&quot;container-title&quot;:&quot;Drug Development and Industrial Pharmacy&quot;,&quot;id&quot;:&quot;928692c5-f894-5953-82eb-c63c106d17ff&quot;,&quot;issue&quot;:&quot;5&quot;,&quot;issued&quot;:{&quot;date-parts&quot;:[[&quot;2018&quot;]]},&quot;page&quot;:&quot;861-867&quot;,&quot;title&quot;:&quot;Effects of coating layer and release medium on release profile from coated capsules with Eudragit FS 30D: an in vitro and in vivo study&quot;,&quot;type&quot;:&quot;article-journal&quot;,&quot;volume&quot;:&quot;44&quot;,&quot;container-title-short&quot;:&quot;&quot;},&quot;uris&quot;:[&quot;http://www.mendeley.com/documents/?uuid=6080a131-30ca-478f-9994-f641b04afee1&quot;],&quot;isTemporary&quot;:false,&quot;legacyDesktopId&quot;:&quot;6080a131-30ca-478f-9994-f641b04afee1&quot;}]},{&quot;citationID&quot;:&quot;MENDELEY_CITATION_2bad68b6-1e35-4797-8d99-75b97291a62d&quot;,&quot;properties&quot;:{&quot;noteIndex&quot;:0},&quot;isEdited&quot;:false,&quot;manualOverride&quot;:{&quot;citeprocText&quot;:&quot;(Fang et al., 2019)&quot;,&quot;isManuallyOverridden&quot;:false,&quot;manualOverrideText&quot;:&quot;&quot;},&quot;citationTag&quot;:&quot;MENDELEY_CITATION_v3_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&quot;,&quot;citationItems&quot;:[{&quot;id&quot;:&quot;815ee307-536e-5d8f-a0a7-02e9174dad2b&quot;,&quot;itemData&quot;:{&quot;DOI&quot;:&quot;10.1038/s41390-019-0444-2&quot;,&quot;ISSN&quot;:&quot;15300447&quot;,&quot;PMID&quot;:&quot;31141816&quot;,&quot;abstract&quot;:&quot;Background: The effectiveness of budesonide (BUD), a locally active steroid, on eosinophilic gastroenteritis (EGE) is not well understood. This study is to retrospectively evaluate the efficacy of BUD in children with EGE. Methods: Forty-four children, diagnosed with EGE, were enrolled from 2013 to 2017 in our center. According to patients’ preference, all the patients were treated with dietary elimination (DE) and montelukast therapy, or combined with prednisone (PRED)/BUD. Patients’ clinical manifestations, treatments, and outcomes were reviewed from the medical records. Twenty-four patients (7 PRED, 7 BUD, 10 DE) received therapy for ≥8 weeks, followed by repeat endoscopy and biopsies. Histological response was defined as &lt;20 eos/hpf (eosinophils per high-power field). Results: Significant number of patients in DE+PRED (6/7, 85.7%) and DE+BUD (6/7, 85.7%) groups achieved histological response than in the DE group (3/10.30%) (p = 0.024). Mean post-treatment peak eos/hpf in the DE+PRED group was 16.57 ± 6.85 vs. 10.00 ± 5.07 in the DE+BUD group vs. 36.60 ± 24.57 in the DE group (p = 0.009). Change of eos/hpf from pre- to post-treatment was −49.86 ± 45.02 vs. −34.29 ± 23.44 in the BUD group vs. −0.3 ± 23.95 in the DE group (p = 0.011). There were no significant differences between DE+PRED and DE+BUD groups (p = 0.470, p = 0.363, respectively). Conclusion: BUD is effective in the treatment of EGE and has similar effectiveness with PRED.&quot;,&quot;author&quot;:[{&quot;dropping-particle&quot;:&quot;&quot;,&quot;family&quot;:&quot;Fang&quot;,&quot;given&quot;:&quot;Shengbo&quot;,&quot;non-dropping-particle&quot;:&quot;&quot;,&quot;parse-names&quot;:false,&quot;suffix&quot;:&quot;&quot;},{&quot;dropping-particle&quot;:&quot;&quot;,&quot;family&quot;:&quot;Song&quot;,&quot;given&quot;:&quot;Yanqing&quot;,&quot;non-dropping-particle&quot;:&quot;&quot;,&quot;parse-names&quot;:false,&quot;suffix&quot;:&quot;&quot;},{&quot;dropping-particle&quot;:&quot;&quot;,&quot;family&quot;:&quot;Zhang&quot;,&quot;given&quot;:&quot;Sixi&quot;,&quot;non-dropping-particle&quot;:&quot;&quot;,&quot;parse-names&quot;:false,&quot;suffix&quot;:&quot;&quot;},{&quot;dropping-particle&quot;:&quot;&quot;,&quot;family&quot;:&quot;Li&quot;,&quot;given&quot;:&quot;Chunyan&quot;,&quot;non-dropping-particle&quot;:&quot;&quot;,&quot;parse-names&quot;:false,&quot;suffix&quot;:&quot;&quot;}],&quot;container-title&quot;:&quot;Pediatric Research&quot;,&quot;id&quot;:&quot;815ee307-536e-5d8f-a0a7-02e9174dad2b&quot;,&quot;issue&quot;:&quot;4&quot;,&quot;issued&quot;:{&quot;date-parts&quot;:[[&quot;2019&quot;]]},&quot;page&quot;:&quot;505-509&quot;,&quot;publisher&quot;:&quot;Springer US&quot;,&quot;title&quot;:&quot;Retrospective study of budesonide in children with eosinophilic gastroenteritis&quot;,&quot;type&quot;:&quot;article-journal&quot;,&quot;volume&quot;:&quot;86&quot;,&quot;container-title-short&quot;:&quot;&quot;},&quot;uris&quot;:[&quot;http://www.mendeley.com/documents/?uuid=51ae1dd2-999f-4a6d-985d-7eb037eb326b&quot;],&quot;isTemporary&quot;:false,&quot;legacyDesktopId&quot;:&quot;51ae1dd2-999f-4a6d-985d-7eb037eb326b&quot;}]},{&quot;citationID&quot;:&quot;MENDELEY_CITATION_a46ff591-596a-4ef2-9ed7-1cce768f1e36&quot;,&quot;properties&quot;:{&quot;noteIndex&quot;:0},&quot;isEdited&quot;:false,&quot;manualOverride&quot;:{&quot;citeprocText&quot;:&quot;(Zuccari et al., 2022)&quot;,&quot;isManuallyOverridden&quot;:false,&quot;manualOverrideText&quot;:&quot;&quot;},&quot;citationTag&quot;:&quot;MENDELEY_CITATION_v3_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&quot;,&quot;citationItems&quot;:[{&quot;id&quot;:&quot;b9339ab1-997d-52a8-ac55-a8faba56f037&quot;,&quot;itemData&quot;:{&quot;DOI&quot;:&quot;10.3390/ph15010108&quot;,&quot;ISSN&quot;:&quot;14248247&quot;,&quot;abstract&quot;:&quot;In the treatment of pediatric diseases, mass-produced dosage forms are often not suitable for children. Commercially available medicines are commonly manipulated and mixed with food by caregivers at home, or extemporaneous medications are routinely compounded in the hospital pharmacies to treat hospitalized children. Despite considerable efforts by regulatory agencies, the pediatric population is still exposed to questionable and potentially harmful practices. When designing medicines for children, the ability to fine-tune the dosage while ensuring the safety of the ingredients is of paramount importance. For these purposes solid formulations may represent a valid alternative to liquid formulations for their simpler formula and more stability, and, to overcome the problem of swelling ability, mini-tablets could be a practicable option. This review deals with the different approaches that may be applied to develop mini-tablets intended for pediatrics with a focus on the safety of excipients. Alongside the conventional method of compression, 3D printing appeared particularly appealing, as it allows to reduce the number of ingredients and to avoid both the mixing of powders and intermediate steps such as granulation. Therefore, this technique could be well adaptable to the daily galenic preparations of a hospital pharmacy, thus leading to a reduction of the common practice of off-label preparations.&quot;,&quot;author&quot;:[{&quot;dropping-particle&quot;:&quot;&quot;,&quot;family&quot;:&quot;Zuccari&quot;,&quot;given&quot;:&quot;Guendalina&quot;,&quot;non-dropping-particle&quot;:&quot;&quot;,&quot;parse-names&quot;:false,&quot;suffix&quot;:&quot;&quot;},{&quot;dropping-particle&quot;:&quot;&quot;,&quot;family&quot;:&quot;Alfei&quot;,&quot;given&quot;:&quot;Silvana&quot;,&quot;non-dropping-particle&quot;:&quot;&quot;,&quot;parse-names&quot;:false,&quot;suffix&quot;:&quot;&quot;},{&quot;dropping-particle&quot;:&quot;&quot;,&quot;family&quot;:&quot;Marimpietri&quot;,&quot;given&quot;:&quot;Danilo&quot;,&quot;non-dropping-particle&quot;:&quot;&quot;,&quot;parse-names&quot;:false,&quot;suffix&quot;:&quot;&quot;},{&quot;dropping-particle&quot;:&quot;&quot;,&quot;family&quot;:&quot;Iurilli&quot;,&quot;given&quot;:&quot;Valentina&quot;,&quot;non-dropping-particle&quot;:&quot;&quot;,&quot;parse-names&quot;:false,&quot;suffix&quot;:&quot;&quot;},{&quot;dropping-particle&quot;:&quot;&quot;,&quot;family&quot;:&quot;Barabino&quot;,&quot;given&quot;:&quot;Paola&quot;,&quot;non-dropping-particle&quot;:&quot;&quot;,&quot;parse-names&quot;:false,&quot;suffix&quot;:&quot;&quot;},{&quot;dropping-particle&quot;:&quot;&quot;,&quot;family&quot;:&quot;Marchitto&quot;,&quot;given&quot;:&quot;Leonardo&quot;,&quot;non-dropping-particle&quot;:&quot;&quot;,&quot;parse-names&quot;:false,&quot;suffix&quot;:&quot;&quot;}],&quot;container-title&quot;:&quot;Pharmaceuticals&quot;,&quot;id&quot;:&quot;b9339ab1-997d-52a8-ac55-a8faba56f037&quot;,&quot;issue&quot;:&quot;1&quot;,&quot;issued&quot;:{&quot;date-parts&quot;:[[&quot;2022&quot;]]},&quot;title&quot;:&quot;Mini-Tablets: A Valid Strategy to Combine Efficacy and Safety in Pediatrics&quot;,&quot;type&quot;:&quot;article-journal&quot;,&quot;volume&quot;:&quot;15&quot;,&quot;container-title-short&quot;:&quot;&quot;},&quot;uris&quot;:[&quot;http://www.mendeley.com/documents/?uuid=6deaa5e2-ce07-4cb3-b1b6-b8bec11e35f3&quot;],&quot;isTemporary&quot;:false,&quot;legacyDesktopId&quot;:&quot;6deaa5e2-ce07-4cb3-b1b6-b8bec11e35f3&quot;}]},{&quot;citationID&quot;:&quot;MENDELEY_CITATION_39d5580e-0794-47f7-a4ca-38db5c02031e&quot;,&quot;properties&quot;:{&quot;noteIndex&quot;:0},&quot;isEdited&quot;:false,&quot;manualOverride&quot;:{&quot;citeprocText&quot;:&quot;(Lafeber et al., 2022a)&quot;,&quot;isManuallyOverridden&quot;:false,&quot;manualOverrideText&quot;:&quot;&quot;},&quot;citationTag&quot;:&quot;MENDELEY_CITATION_v3_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&quot;,&quot;citationItems&quot;:[{&quot;id&quot;:&quot;01d3b9a8-f3c8-5d44-9d6b-b994f211cddb&quot;,&quot;itemData&quot;:{&quot;DOI&quot;:&quot;10.3390/pharmaceutics14020416&quot;,&quot;ISSN&quot;:&quot;19994923&quot;,&quot;abstract&quot;:&quot;3D printing of pediatric-centered drug formulations can provide suitable alternatives to current treatment options, though further research is still warranted for successful clinical imple-mentation of these innovative drug products. Extensive research has been conducted on the com-pliance of 3D-printed drug products to a pediatric quality target product profile. The 3D-printed tablets were of particular interest in providing superior dosing and release profile similarity compared to conventional drug manipulation and compounding methods, such as oral liquids. In the future, acceptance of 3D-printed tablets in the pediatric patient population might be better than current treatments due to improved palatability. Further research should focus on expanding clinical knowledge, providing regulatory guidance and expansion of the product range, including dosage form possibilities. Moreover, it should enable the use of diverse good manufacturing practice (GMP)-ready 3D printing techniques for the production of various drug products for the pediatric patient population.&quot;,&quot;author&quot;:[{&quot;dropping-particle&quot;:&quot;&quot;,&quot;family&quot;:&quot;Lafeber&quot;,&quot;given&quot;:&quot;Iris&quot;,&quot;non-dropping-particle&quot;:&quot;&quot;,&quot;parse-names&quot;:false,&quot;suffix&quot;:&quot;&quot;},{&quot;dropping-particle&quot;:&quot;&quot;,&quot;family&quot;:&quot;Ruijgrok&quot;,&quot;given&quot;:&quot;Elisabeth J.&quot;,&quot;non-dropping-particle&quot;:&quot;&quot;,&quot;parse-names&quot;:false,&quot;suffix&quot;:&quot;&quot;},{&quot;dropping-particle&quot;:&quot;&quot;,&quot;family&quot;:&quot;Guchelaar&quot;,&quot;given&quot;:&quot;Henk Jan&quot;,&quot;non-dropping-particle&quot;:&quot;&quot;,&quot;parse-names&quot;:false,&quot;suffix&quot;:&quot;&quot;},{&quot;dropping-particle&quot;:&quot;&quot;,&quot;family&quot;:&quot;Schimmel&quot;,&quot;given&quot;:&quot;Kirsten J.M.&quot;,&quot;non-dropping-particle&quot;:&quot;&quot;,&quot;parse-names&quot;:false,&quot;suffix&quot;:&quot;&quot;}],&quot;container-title&quot;:&quot;Pharmaceutics&quot;,&quot;id&quot;:&quot;01d3b9a8-f3c8-5d44-9d6b-b994f211cddb&quot;,&quot;issue&quot;:&quot;2&quot;,&quot;issued&quot;:{&quot;date-parts&quot;:[[&quot;2022&quot;]]},&quot;page&quot;:&quot;1-23&quot;,&quot;title&quot;:&quot;3D Printing of Pediatric Medication: The End of Bad Tasting Oral Liquids?—A Scoping Review&quot;,&quot;type&quot;:&quot;article-journal&quot;,&quot;volume&quot;:&quot;14&quot;,&quot;container-title-short&quot;:&quot;Pharmaceutics&quot;},&quot;uris&quot;:[&quot;http://www.mendeley.com/documents/?uuid=a1158610-8a32-4e0e-b143-f938b259f5a4&quot;],&quot;isTemporary&quot;:false,&quot;legacyDesktopId&quot;:&quot;a1158610-8a32-4e0e-b143-f938b259f5a4&quot;}]},{&quot;citationID&quot;:&quot;MENDELEY_CITATION_9f5169e1-44e6-42c8-8e31-30aa6e1a5e6c&quot;,&quot;properties&quot;:{&quot;noteIndex&quot;:0},&quot;isEdited&quot;:false,&quot;manualOverride&quot;:{&quot;citeprocText&quot;:&quot;(Lafeber et al., 2022a)&quot;,&quot;isManuallyOverridden&quot;:false,&quot;manualOverrideText&quot;:&quot;&quot;},&quot;citationTag&quot;:&quot;MENDELEY_CITATION_v3_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&quot;,&quot;citationItems&quot;:[{&quot;id&quot;:&quot;01d3b9a8-f3c8-5d44-9d6b-b994f211cddb&quot;,&quot;itemData&quot;:{&quot;DOI&quot;:&quot;10.3390/pharmaceutics14020416&quot;,&quot;ISSN&quot;:&quot;19994923&quot;,&quot;abstract&quot;:&quot;3D printing of pediatric-centered drug formulations can provide suitable alternatives to current treatment options, though further research is still warranted for successful clinical imple-mentation of these innovative drug products. Extensive research has been conducted on the com-pliance of 3D-printed drug products to a pediatric quality target product profile. The 3D-printed tablets were of particular interest in providing superior dosing and release profile similarity compared to conventional drug manipulation and compounding methods, such as oral liquids. In the future, acceptance of 3D-printed tablets in the pediatric patient population might be better than current treatments due to improved palatability. Further research should focus on expanding clinical knowledge, providing regulatory guidance and expansion of the product range, including dosage form possibilities. Moreover, it should enable the use of diverse good manufacturing practice (GMP)-ready 3D printing techniques for the production of various drug products for the pediatric patient population.&quot;,&quot;author&quot;:[{&quot;dropping-particle&quot;:&quot;&quot;,&quot;family&quot;:&quot;Lafeber&quot;,&quot;given&quot;:&quot;Iris&quot;,&quot;non-dropping-particle&quot;:&quot;&quot;,&quot;parse-names&quot;:false,&quot;suffix&quot;:&quot;&quot;},{&quot;dropping-particle&quot;:&quot;&quot;,&quot;family&quot;:&quot;Ruijgrok&quot;,&quot;given&quot;:&quot;Elisabeth J.&quot;,&quot;non-dropping-particle&quot;:&quot;&quot;,&quot;parse-names&quot;:false,&quot;suffix&quot;:&quot;&quot;},{&quot;dropping-particle&quot;:&quot;&quot;,&quot;family&quot;:&quot;Guchelaar&quot;,&quot;given&quot;:&quot;Henk Jan&quot;,&quot;non-dropping-particle&quot;:&quot;&quot;,&quot;parse-names&quot;:false,&quot;suffix&quot;:&quot;&quot;},{&quot;dropping-particle&quot;:&quot;&quot;,&quot;family&quot;:&quot;Schimmel&quot;,&quot;given&quot;:&quot;Kirsten J.M.&quot;,&quot;non-dropping-particle&quot;:&quot;&quot;,&quot;parse-names&quot;:false,&quot;suffix&quot;:&quot;&quot;}],&quot;container-title&quot;:&quot;Pharmaceutics&quot;,&quot;id&quot;:&quot;01d3b9a8-f3c8-5d44-9d6b-b994f211cddb&quot;,&quot;issue&quot;:&quot;2&quot;,&quot;issued&quot;:{&quot;date-parts&quot;:[[&quot;2022&quot;]]},&quot;page&quot;:&quot;1-23&quot;,&quot;title&quot;:&quot;3D Printing of Pediatric Medication: The End of Bad Tasting Oral Liquids?—A Scoping Review&quot;,&quot;type&quot;:&quot;article-journal&quot;,&quot;volume&quot;:&quot;14&quot;,&quot;container-title-short&quot;:&quot;Pharmaceutics&quot;},&quot;uris&quot;:[&quot;http://www.mendeley.com/documents/?uuid=a1158610-8a32-4e0e-b143-f938b259f5a4&quot;],&quot;isTemporary&quot;:false,&quot;legacyDesktopId&quot;:&quot;a1158610-8a32-4e0e-b143-f938b259f5a4&quot;}]},{&quot;citationID&quot;:&quot;MENDELEY_CITATION_38226ba9-d2e8-4e7b-9081-5f443cb5ac04&quot;,&quot;properties&quot;:{&quot;noteIndex&quot;:0},&quot;isEdited&quot;:false,&quot;manualOverride&quot;:{&quot;citeprocText&quot;:&quot;(Zema et al., 2017)&quot;,&quot;isManuallyOverridden&quot;:false,&quot;manualOverrideText&quot;:&quot;&quot;},&quot;citationTag&quot;:&quot;MENDELEY_CITATION_v3_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&quot;,&quot;citationItems&quot;:[{&quot;id&quot;:&quot;8d15667c-d946-5972-8ffe-7bc4fcb46446&quot;,&quot;itemData&quot;:{&quot;DOI&quot;:&quot;10.1016/j.xphs.2017.03.021&quot;,&quot;ISBN&quot;:&quot;3902503246&quot;,&quot;ISSN&quot;:&quot;15206017&quot;,&quot;PMID&quot;:&quot;28347731&quot;,&quot;abstract&quot;:&quot;By 3-dimensional (3D) printing, solid objects of any shape are fabricated through layer-by-layer addition of materials based on a digital model. At present, such a technique is broadly exploited in many industrial fields because of major advantages in terms of reduced times and costs of development and production. In the biomedical and pharmaceutical domains, the interest in 3D printing is growing in step with the needs of personalized medicine. Printed scaffolds and prostheses have partly replaced medical devices produced by more established techniques, and more recently, 3D printing has been proposed for the manufacturing of drug products. Notably, the availability of patient-tailored pharmaceuticals would be of utmost importance for children, elderly subjects, poor and high metabolizers, and individuals undergoing multiple drug treatments. 3D printing encompasses a range of differing techniques, each involving advantages and open issues. Particularly, solidification of powder, extrusion, and stereolithography have been applied to the manufacturing of drug products. The main challenge to their exploitation for personalized pharmacologic therapy is likely to be related to the regulatory issues involved and to implementation of production models that may allow to efficiently turn the therapeutic needs of individual patients into small batches of appropriate drug products meeting preset quality requirements.&quot;,&quot;author&quot;:[{&quot;dropping-particle&quot;:&quot;&quot;,&quot;family&quot;:&quot;Zema&quot;,&quot;given&quot;:&quot;Lucia&quot;,&quot;non-dropping-particle&quot;:&quot;&quot;,&quot;parse-names&quot;:false,&quot;suffix&quot;:&quot;&quot;},{&quot;dropping-particle&quot;:&quot;&quot;,&quot;family&quot;:&quot;Melocchi&quot;,&quot;given&quot;:&quot;Alice&quot;,&quot;non-dropping-particle&quot;:&quot;&quot;,&quot;parse-names&quot;:false,&quot;suffix&quot;:&quot;&quot;},{&quot;dropping-particle&quot;:&quot;&quot;,&quot;family&quot;:&quot;Maroni&quot;,&quot;given&quot;:&quot;Alessandra&quot;,&quot;non-dropping-particle&quot;:&quot;&quot;,&quot;parse-names&quot;:false,&quot;suffix&quot;:&quot;&quot;},{&quot;dropping-particle&quot;:&quot;&quot;,&quot;family&quot;:&quot;Gazzaniga&quot;,&quot;given&quot;:&quot;Andrea&quot;,&quot;non-dropping-particle&quot;:&quot;&quot;,&quot;parse-names&quot;:false,&quot;suffix&quot;:&quot;&quot;}],&quot;container-title&quot;:&quot;Journal of Pharmaceutical Sciences&quot;,&quot;id&quot;:&quot;8d15667c-d946-5972-8ffe-7bc4fcb46446&quot;,&quot;issue&quot;:&quot;7&quot;,&quot;issued&quot;:{&quot;date-parts&quot;:[[&quot;2017&quot;]]},&quot;page&quot;:&quot;1697-1705&quot;,&quot;publisher&quot;:&quot;Elsevier Ltd&quot;,&quot;title&quot;:&quot;Three-Dimensional Printing of Medicinal Products and the Challenge of Personalized Therapy&quot;,&quot;type&quot;:&quot;article-journal&quot;,&quot;volume&quot;:&quot;106&quot;,&quot;container-title-short&quot;:&quot;&quot;},&quot;uris&quot;:[&quot;http://www.mendeley.com/documents/?uuid=52ca8ad8-6468-4b1d-b6c5-cb03a05bb851&quot;],&quot;isTemporary&quot;:false,&quot;legacyDesktopId&quot;:&quot;52ca8ad8-6468-4b1d-b6c5-cb03a05bb851&quot;}]},{&quot;citationID&quot;:&quot;MENDELEY_CITATION_a84dfce9-3d53-4667-b0bd-7ac54f7407d4&quot;,&quot;properties&quot;:{&quot;noteIndex&quot;:0},&quot;isEdited&quot;:false,&quot;manualOverride&quot;:{&quot;citeprocText&quot;:&quot;(Boniatti et al., 2021; El Aita et al., 2020a; Scoutaris et al., 2018)&quot;,&quot;isManuallyOverridden&quot;:false,&quot;manualOverrideText&quot;:&quot;&quot;},&quot;citationTag&quot;:&quot;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&quot;,&quot;citationItems&quot;:[{&quot;id&quot;:&quot;f03621dc-1f37-5f76-b443-dd22f9934473&quot;,&quot;itemData&quot;:{&quot;DOI&quot;:&quot;10.1007/s11095-017-2284-2&quot;,&quot;ISBN&quot;:&quot;1109501722&quot;,&quot;ISSN&quot;:&quot;1573904X&quot;,&quot;PMID&quot;:&quot;29368113&quot;,&quot;abstract&quot;:&quot;Purpose: Three- dimensional (3D) printing has received significant attention as a manufacturing process for pharmaceutical dosage forms. In this study, we used Fusion Deposition Modelling (FDM) in order to print “candy – like” formulations by imitating Starmix® sweets to prepare paediatric medicines with enhanced palatability. Methods: Hot melt extrusion processing (HME) was coupled with FDM to prepare extruded filaments of indomethacin (IND), hypromellose acetate succinate (HPMCAS) and polyethylene glycol (PEG) formulations and subsequently feed them in the 3D printer. The shapes of the Starmix® objects were printed in the form of a heart, ring, bottle, ring, bear and lion. Differential scanning calorimetry (DSC), X-ray powder diffraction (XRPD), Fourier Transform Infra-red Spectroscopy (FT-IR) and confocal Raman analysis were used to assess the drug – excipient interactions and the content uniformity. Results: Physicochemical analysis showed the presence of molecularly dispersed IND in the printed tablets. In vivo taste masking evaluation demonstrated excellent masking of the drug bitterness. The printed forms were evaluated for drug dissolution and showed immediate IND release independently of the printed shape, within 60 min. Conclusions: 3D printing was used successfully to process drug loaded filaments for the development of paediatric printed tablets in the form of Starmix® designs.&quot;,&quot;author&quot;:[{&quot;dropping-particle&quot;:&quot;&quot;,&quot;family&quot;:&quot;Scoutaris&quot;,&quot;given&quot;:&quot;Nicolaos&quot;,&quot;non-dropping-particle&quot;:&quot;&quot;,&quot;parse-names&quot;:false,&quot;suffix&quot;:&quot;&quot;},{&quot;dropping-particle&quot;:&quot;&quot;,&quot;family&quot;:&quot;Ross&quot;,&quot;given&quot;:&quot;Steven A.&quot;,&quot;non-dropping-particle&quot;:&quot;&quot;,&quot;parse-names&quot;:false,&quot;suffix&quot;:&quot;&quot;},{&quot;dropping-particle&quot;:&quot;&quot;,&quot;family&quot;:&quot;Douroumis&quot;,&quot;given&quot;:&quot;Dennis&quot;,&quot;non-dropping-particle&quot;:&quot;&quot;,&quot;parse-names&quot;:false,&quot;suffix&quot;:&quot;&quot;}],&quot;container-title&quot;:&quot;Pharmaceutical Research&quot;,&quot;id&quot;:&quot;f03621dc-1f37-5f76-b443-dd22f9934473&quot;,&quot;issue&quot;:&quot;2&quot;,&quot;issued&quot;:{&quot;date-parts&quot;:[[&quot;2018&quot;]]},&quot;page&quot;:&quot;1-11&quot;,&quot;publisher&quot;:&quot;Pharmaceutical Research&quot;,&quot;title&quot;:&quot;3D Printed “Starmix” Drug Loaded Dosage Forms for Paediatric Applications&quot;,&quot;type&quot;:&quot;article-journal&quot;,&quot;volume&quot;:&quot;35&quot;,&quot;container-title-short&quot;:&quot;&quot;},&quot;uris&quot;:[&quot;http://www.mendeley.com/documents/?uuid=5c18c773-d6a2-4900-8d68-6cb8bec5a940&quot;],&quot;isTemporary&quot;:false,&quot;legacyDesktopId&quot;:&quot;5c18c773-d6a2-4900-8d68-6cb8bec5a940&quot;},{&quot;id&quot;:&quot;0cd7fdf1-3f70-5107-9218-066ade5fccad&quot;,&quot;itemData&quot;:{&quot;DOI&quot;:&quot;10.1016/j.ejpb.2020.09.012&quot;,&quot;ISSN&quot;:&quot;18733441&quot;,&quot;PMID&quot;:&quot;33022389&quot;,&quot;abstract&quot;:&quot;The establishment of 3D-printing as manufacturing process for oral solid dosage forms enables new options for the individualized medicine. The aim of this work was to develop a novel drug-printing model using pressure-assisted microsyringe (PAM) technology, which allows the precise dispensing of drug substances. Printed tablets with different numbers of layers, mimicking different doses for pediatric subgroups, were analyzed regarding mass variation, friability, thickness and disintegration time. Furthermore, the uniformity of dosage units and the dissolution behavior were investigated. Friability was &lt;0.3% in all cases, which demonstrates the ability of PAM printing to manufacture robust solid dosage. Disintegration results showed the dependency of the disintegration on the number of layers and therefore on the compact mass of polymer. However, all tablets disintegrated within 3 min and fulfilled the requirements of immediate release tablets of the USP and orodispersible tablets according to the Ph. Eur. Results of uniformity dosage units confirmed the successful manufacturing of the intended individualized doses. Drug dissolution appeared to be dependent on the number of layers. An increase of layers resulted in a decrease of the drug release rate. Further, the drug release could be correlated to the surface area/volume (SA/V) ratio.&quot;,&quot;author&quot;:[{&quot;dropping-particle&quot;:&quot;&quot;,&quot;family&quot;:&quot;Aita&quot;,&quot;given&quot;:&quot;Ilias&quot;,&quot;non-dropping-particle&quot;:&quot;El&quot;,&quot;parse-names&quot;:false,&quot;suffix&quot;:&quot;&quot;},{&quot;dropping-particle&quot;:&quot;&quot;,&quot;family&quot;:&quot;Rahman&quot;,&quot;given&quot;:&quot;Jhinuk&quot;,&quot;non-dropping-particle&quot;:&quot;&quot;,&quot;parse-names&quot;:false,&quot;suffix&quot;:&quot;&quot;},{&quot;dropping-particle&quot;:&quot;&quot;,&quot;family&quot;:&quot;Breitkreutz&quot;,&quot;given&quot;:&quot;Jörg&quot;,&quot;non-dropping-particle&quot;:&quot;&quot;,&quot;parse-names&quot;:false,&quot;suffix&quot;:&quot;&quot;},{&quot;dropping-particle&quot;:&quot;&quot;,&quot;family&quot;:&quot;Quodbach&quot;,&quot;given&quot;:&quot;Julian&quot;,&quot;non-dropping-particle&quot;:&quot;&quot;,&quot;parse-names&quot;:false,&quot;suffix&quot;:&quot;&quot;}],&quot;container-title&quot;:&quot;European Journal of Pharmaceutics and Biopharmaceutics&quot;,&quot;id&quot;:&quot;0cd7fdf1-3f70-5107-9218-066ade5fccad&quot;,&quot;issued&quot;:{&quot;date-parts&quot;:[[&quot;2020&quot;]]},&quot;page&quot;:&quot;59-65&quot;,&quot;title&quot;:&quot;3D-Printing with precise layer-wise dose adjustments for paediatric use via pressure-assisted microsyringe printing&quot;,&quot;type&quot;:&quot;article-journal&quot;,&quot;volume&quot;:&quot;157&quot;,&quot;container-title-short&quot;:&quot;&quot;},&quot;uris&quot;:[&quot;http://www.mendeley.com/documents/?uuid=bb1b2944-5f37-4d82-ad78-e741a28515ea&quot;],&quot;isTemporary&quot;:false,&quot;legacyDesktopId&quot;:&quot;bb1b2944-5f37-4d82-ad78-e741a28515ea&quot;},{&quot;id&quot;:&quot;0baadfee-2755-59bb-899f-c98cd48f5825&quot;,&quot;itemData&quot;:{&quot;DOI&quot;:&quot;10.3390/pharmaceutics13081114&quot;,&quot;ISSN&quot;:&quot;19994923&quot;,&quot;abstract&quot;:&quot;For the last 40 years, praziquantel has been the standard treatment for schistosomiasis, a neglected parasitic disease affecting more than 250 million people worldwide. However, there is no suitable paediatric formulation on the market, leading to off-label use and the splitting of commercial tablets for adults. In this study, we use a recently available technology, direct powder extrusion (DPE) three-dimensional printing (3DP), to prepare paediatric Printlets™ (3D printed tablets) of amorphous solid dispersions of praziquantel with Kollidon® VA 64 and surfactants (Span™ 20 or Kolliphor® SLS). Printlets were successfully printed from both pellets and powders obtained from extrudates by hot melt extrusion (HME). In vitro dissolution studies showed a greater than four-fold increase in praziquantel release, due to the formation of amorphous solid dispersions. In vitro palatability data indicated that the printlets were in the range of praziquantel tolerability, highlighting the taste masking capabilities of this technology without the need for additional taste masking excipients. This work has demonstrated the possibility of 3D printing tablets using pellets or powder forms obtained by HME, avoiding the use of filaments in fused deposition modelling 3DP. Moreover, the main formulation hurdles of praziquantel, such as low drug solubility, inadequate taste, and high and variable dose requirements, can be overcome using this technology.&quot;,&quot;author&quot;:[{&quot;dropping-particle&quot;:&quot;&quot;,&quot;family&quot;:&quot;Boniatti&quot;,&quot;given&quot;:&quot;Janine&quot;,&quot;non-dropping-particle&quot;:&quot;&quot;,&quot;parse-names&quot;:false,&quot;suffix&quot;:&quot;&quot;},{&quot;dropping-particle&quot;:&quot;&quot;,&quot;family&quot;:&quot;Januskaite&quot;,&quot;given&quot;:&quot;Patricija&quot;,&quot;non-dropping-particle&quot;:&quot;&quot;,&quot;parse-names&quot;:false,&quot;suffix&quot;:&quot;&quot;},{&quot;dropping-particle&quot;:&quot;&quot;,&quot;family&quot;:&quot;Fonseca&quot;,&quot;given&quot;:&quot;Laís B.&quot;,&quot;non-dropping-particle&quot;:&quot;da&quot;,&quot;parse-names&quot;:false,&quot;suffix&quot;:&quot;&quot;},{&quot;dropping-particle&quot;:&quot;&quot;,&quot;family&quot;:&quot;Viçosa&quot;,&quot;given&quot;:&quot;Alessandra L.&quot;,&quot;non-dropping-particle&quot;:&quot;&quot;,&quot;parse-names&quot;:false,&quot;suffix&quot;:&quot;&quot;},{&quot;dropping-particle&quot;:&quot;&quot;,&quot;family&quot;:&quot;Amendoeira&quot;,&quot;given&quot;:&quot;Fábio C.&quot;,&quot;non-dropping-particle&quot;:&quot;&quot;,&quot;parse-names&quot;:false,&quot;suffix&quot;:&quot;&quot;},{&quot;dropping-particle&quot;:&quot;&quot;,&quot;family&quot;:&quot;Tuleu&quot;,&quot;given&quot;:&quot;Catherine&quot;,&quot;non-dropping-particle&quot;:&quot;&quot;,&quot;parse-names&quot;:false,&quot;suffix&quot;:&quot;&quot;},{&quot;dropping-particle&quot;:&quot;&quot;,&quot;family&quot;:&quot;Basit&quot;,&quot;given&quot;:&quot;Abdul W.&quot;,&quot;non-dropping-particle&quot;:&quot;&quot;,&quot;parse-names&quot;:false,&quot;suffix&quot;:&quot;&quot;},{&quot;dropping-particle&quot;:&quot;&quot;,&quot;family&quot;:&quot;Goyanes&quot;,&quot;given&quot;:&quot;Alvaro&quot;,&quot;non-dropping-particle&quot;:&quot;&quot;,&quot;parse-names&quot;:false,&quot;suffix&quot;:&quot;&quot;},{&quot;dropping-particle&quot;:&quot;&quot;,&quot;family&quot;:&quot;Ré&quot;,&quot;given&quot;:&quot;Maria Inês&quot;,&quot;non-dropping-particle&quot;:&quot;&quot;,&quot;parse-names&quot;:false,&quot;suffix&quot;:&quot;&quot;}],&quot;container-title&quot;:&quot;Pharmaceutics&quot;,&quot;id&quot;:&quot;0baadfee-2755-59bb-899f-c98cd48f5825&quot;,&quot;issue&quot;:&quot;8&quot;,&quot;issued&quot;:{&quot;date-parts&quot;:[[&quot;2021&quot;]]},&quot;title&quot;:&quot;Direct powder extrusion 3d printing of praziquantel to overcome neglected disease formulation challenges in paediatric populations&quot;,&quot;type&quot;:&quot;article-journal&quot;,&quot;volume&quot;:&quot;13&quot;,&quot;container-title-short&quot;:&quot;Pharmaceutics&quot;},&quot;uris&quot;:[&quot;http://www.mendeley.com/documents/?uuid=3d19e23b-2ea1-4b4b-9a50-617c98c8dd2a&quot;],&quot;isTemporary&quot;:false,&quot;legacyDesktopId&quot;:&quot;3d19e23b-2ea1-4b4b-9a50-617c98c8dd2a&quot;}]},{&quot;citationID&quot;:&quot;MENDELEY_CITATION_cadb917a-c740-44d3-aaad-aee7dd7820cc&quot;,&quot;properties&quot;:{&quot;noteIndex&quot;:0},&quot;isEdited&quot;:false,&quot;manualOverride&quot;:{&quot;citeprocText&quot;:&quot;(Goyanes et al., 2019; Pistone et al., 2022)&quot;,&quot;isManuallyOverridden&quot;:false,&quot;manualOverrideText&quot;:&quot;&quot;},&quot;citationTag&quot;:&quot;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id&quot;:&quot;a65f2650-cfbe-5c05-9c73-3ba5e0807ef3&quot;,&quot;itemData&quot;:{&quot;DOI&quot;:&quot;10.1016/j.ijpharm.2019.118471&quot;,&quot;ISSN&quot;:&quot;18733476&quot;,&quot;PMID&quot;:&quot;31252147&quot;,&quot;abstract&quot;:&quot;Three-dimensional (3D) printing is revolutionising how we envision manufacturing in the pharmaceutical field. Here, we report for the first time the use of direct powder extrusion 3D printing: a novel single-step printing process for the production of printlets (3D printed tablets) directly from powdered materials. This new 3D printing technology was used to prepare amorphous solid dispersions of itraconazole using four different grades of hydroxypropylcellulose (HPC – UL, SSL, SL and L). All of the printlets showed good mechanical and physical characteristics and no drug degradation. The printlets showed sustained drug release characteristics, with drug concentrations higher than the solubility of the drug itself. The printlets prepared with the ultra-low molecular grade (HPC – UL) showed faster drug release compared with the other HPC grades, attributed to the fact that itraconazole was found in a higher percentage as an amorphous solid dispersion. This work demonstrates the potential of this innovate technology to overcome one of the major disadvantages of fused deposition modelling (FDM) 3D printing by avoiding the need for preparation of filaments by hot melt extrusion (HME). This novel single-step technology could revolutionise the preparation of amorphous solid dispersions as final formulations and it may be especially suited for preclinical studies, where the quantity of drugs is limited and without the need of using traditional HME.&quot;,&quot;author&quot;:[{&quot;dropping-particle&quot;:&quot;&quot;,&quot;family&quot;:&quot;Goyanes&quot;,&quot;given&quot;:&quot;Alvaro&quot;,&quot;non-dropping-particle&quot;:&quot;&quot;,&quot;parse-names&quot;:false,&quot;suffix&quot;:&quot;&quot;},{&quot;dropping-particle&quot;:&quot;&quot;,&quot;family&quot;:&quot;Allahham&quot;,&quot;given&quot;:&quot;Nour&quot;,&quot;non-dropping-particle&quot;:&quot;&quot;,&quot;parse-names&quot;:false,&quot;suffix&quot;:&quot;&quot;},{&quot;dropping-particle&quot;:&quot;&quot;,&quot;family&quot;:&quot;Trenfield&quot;,&quot;given&quot;:&quot;Sarah J.&quot;,&quot;non-dropping-particle&quot;:&quot;&quot;,&quot;parse-names&quot;:false,&quot;suffix&quot;:&quot;&quot;},{&quot;dropping-particle&quot;:&quot;&quot;,&quot;family&quot;:&quot;Stoyanov&quot;,&quot;given&quot;:&quot;Edmont&quot;,&quot;non-dropping-particle&quot;:&quot;&quot;,&quot;parse-names&quot;:false,&quot;suffix&quot;:&quot;&quot;},{&quot;dropping-particle&quot;:&quot;&quot;,&quot;family&quot;:&quot;Gaisford&quot;,&quot;given&quot;:&quot;Simon&quot;,&quot;non-dropping-particle&quot;:&quot;&quot;,&quot;parse-names&quot;:false,&quot;suffix&quot;:&quot;&quot;},{&quot;dropping-particle&quot;:&quot;&quot;,&quot;family&quot;:&quot;Basit&quot;,&quot;given&quot;:&quot;Abdul W.&quot;,&quot;non-dropping-particle&quot;:&quot;&quot;,&quot;parse-names&quot;:false,&quot;suffix&quot;:&quot;&quot;}],&quot;container-title&quot;:&quot;International Journal of Pharmaceutics&quot;,&quot;id&quot;:&quot;a65f2650-cfbe-5c05-9c73-3ba5e0807ef3&quot;,&quot;issue&quot;:&quot;June&quot;,&quot;issued&quot;:{&quot;date-parts&quot;:[[&quot;2019&quot;]]},&quot;title&quot;:&quot;Direct powder extrusion 3D printing: Fabrication of drug products using a novel single-step process&quot;,&quot;type&quot;:&quot;article-journal&quot;,&quot;volume&quot;:&quot;567&quot;,&quot;container-title-short&quot;:&quot;&quot;},&quot;uris&quot;:[&quot;http://www.mendeley.com/documents/?uuid=a69f27fc-46ff-48b1-b631-e15399ca1c3b&quot;],&quot;isTemporary&quot;:false,&quot;legacyDesktopId&quot;:&quot;a69f27fc-46ff-48b1-b631-e15399ca1c3b&quot;}]},{&quot;citationID&quot;:&quot;MENDELEY_CITATION_15b8f116-bdb7-443d-aad6-862fc7073920&quot;,&quot;properties&quot;:{&quot;noteIndex&quot;:0},&quot;isEdited&quot;:false,&quot;manualOverride&quot;:{&quot;citeprocText&quot;:&quot;(Pistone et al., 2022)&quot;,&quot;isManuallyOverridden&quot;:false,&quot;manualOverrideText&quot;:&quot;&quot;},&quot;citationTag&quot;:&quot;MENDELEY_CITATION_v3_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SaXp6aSIsImdpdmVuIjoiUm9zYW5uYS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56d733d7-c107-4564-a9a6-a5beebb1ae97&quot;,&quot;properties&quot;:{&quot;noteIndex&quot;:0},&quot;isEdited&quot;:false,&quot;manualOverride&quot;:{&quot;citeprocText&quot;:&quot;(Wang et al., 2022)&quot;,&quot;isManuallyOverridden&quot;:false,&quot;manualOverrideText&quot;:&quot;&quot;},&quot;citationTag&quot;:&quot;MENDELEY_CITATION_v3_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&quot;,&quot;citationItems&quot;:[{&quot;id&quot;:&quot;9462569a-2f25-5a2c-a597-1563bfe79bd6&quot;,&quot;itemData&quot;:{&quot;DOI&quot;:&quot;10.1016/j.ijpharm.2022.121625&quot;,&quot;ISSN&quot;:&quot;18733476&quot;,&quot;PMID&quot;:&quot;35259442&quot;,&quot;abstract&quot;:&quot;Co-amorphous systems have been developed to address the solubility challenge of poorly water-soluble crystalline drugs. However, due to the thermodynamic instability of amorphous forms, amorphization may result in recrystallization during manufacturing, storage, or dissolution, which is one of the main challenges in the pharmaceutical development of amorphous systems. This could also be the case in some co-amorphous systems with only non-strong interactions between the drug and the co-former (such as hydrogen bond formation and π-π interactions). In this study, a small amount of polymer was added to the binary co-amorphous mixture carvedilol (CAR) - tryptophan (TRP) at a molar ratio of 1:1 and subjected to mechanical activation by ball milling to produce amorphous systems, in order to investigate the effect of co-formulated polymer on the physical properties (solubility, stability, etc.) of non-strongly interacting binary co-amorphous mixtures. After co-formulating polymer to the binary co-amorphous system, stronger interactions were found between CAR and polymer than between CAR and TRP in the ternary polymer containing co-amorphous systems. Compared to the corresponding binary co-amorphous systems, larger areas under the dissolution curves were achieved, indicating an improvement in dissolution behaviour due to a more gradual increase in dissolved drug concentration and a longer period of maintaining drug supersaturation. There was no negative effect of polymer addition on physical stability at room temperature under dry storage conditions for 6 months. Therefore, it is possible to design ternary co-amorphous drug delivery systems with optimized dissolution characteristics by adding a small amount of polymer into co-amorphous binary systems.&quot;,&quot;author&quot;:[{&quot;dropping-particle&quot;:&quot;&quot;,&quot;family&quot;:&quot;Wang&quot;,&quot;given&quot;:&quot;Yixuan&quot;,&quot;non-dropping-particle&quot;:&quot;&quot;,&quot;parse-names&quot;:false,&quot;suffix&quot;:&quot;&quot;},{&quot;dropping-particle&quot;:&quot;&quot;,&quot;family&quot;:&quot;Grohganz&quot;,&quot;given&quot;:&quot;Holger&quot;,&quot;non-dropping-particle&quot;:&quot;&quot;,&quot;parse-names&quot;:false,&quot;suffix&quot;:&quot;&quot;},{&quot;dropping-particle&quot;:&quot;&quot;,&quot;family&quot;:&quot;Rades&quot;,&quot;given&quot;:&quot;Thomas&quot;,&quot;non-dropping-particle&quot;:&quot;&quot;,&quot;parse-names&quot;:false,&quot;suffix&quot;:&quot;&quot;}],&quot;container-title&quot;:&quot;International Journal of Pharmaceutics&quot;,&quot;id&quot;:&quot;9462569a-2f25-5a2c-a597-1563bfe79bd6&quot;,&quot;issued&quot;:{&quot;date-parts&quot;:[[&quot;2022&quot;]]},&quot;page&quot;:&quot;121625&quot;,&quot;publisher&quot;:&quot;Elsevier B.V.&quot;,&quot;title&quot;:&quot;Effects of polymer addition on the non-strongly interacting binary co-amorphous system carvedilol-tryptophan&quot;,&quot;type&quot;:&quot;article-journal&quot;,&quot;volume&quot;:&quot;617&quot;,&quot;container-title-short&quot;:&quot;&quot;},&quot;uris&quot;:[&quot;http://www.mendeley.com/documents/?uuid=5c7e0470-d52d-4aa4-8e9d-c816d160f61a&quot;],&quot;isTemporary&quot;:false,&quot;legacyDesktopId&quot;:&quot;5c7e0470-d52d-4aa4-8e9d-c816d160f61a&quot;}]},{&quot;citationID&quot;:&quot;MENDELEY_CITATION_c6ba2c97-d34d-46a7-a224-1f3f60b084b9&quot;,&quot;properties&quot;:{&quot;noteIndex&quot;:0},&quot;isEdited&quot;:false,&quot;manualOverride&quot;:{&quot;citeprocText&quot;:&quot;(Wang et al., 2022)&quot;,&quot;isManuallyOverridden&quot;:false,&quot;manualOverrideText&quot;:&quot;&quot;},&quot;citationTag&quot;:&quot;MENDELEY_CITATION_v3_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&quot;,&quot;citationItems&quot;:[{&quot;id&quot;:&quot;9462569a-2f25-5a2c-a597-1563bfe79bd6&quot;,&quot;itemData&quot;:{&quot;DOI&quot;:&quot;10.1016/j.ijpharm.2022.121625&quot;,&quot;ISSN&quot;:&quot;18733476&quot;,&quot;PMID&quot;:&quot;35259442&quot;,&quot;abstract&quot;:&quot;Co-amorphous systems have been developed to address the solubility challenge of poorly water-soluble crystalline drugs. However, due to the thermodynamic instability of amorphous forms, amorphization may result in recrystallization during manufacturing, storage, or dissolution, which is one of the main challenges in the pharmaceutical development of amorphous systems. This could also be the case in some co-amorphous systems with only non-strong interactions between the drug and the co-former (such as hydrogen bond formation and π-π interactions). In this study, a small amount of polymer was added to the binary co-amorphous mixture carvedilol (CAR) - tryptophan (TRP) at a molar ratio of 1:1 and subjected to mechanical activation by ball milling to produce amorphous systems, in order to investigate the effect of co-formulated polymer on the physical properties (solubility, stability, etc.) of non-strongly interacting binary co-amorphous mixtures. After co-formulating polymer to the binary co-amorphous system, stronger interactions were found between CAR and polymer than between CAR and TRP in the ternary polymer containing co-amorphous systems. Compared to the corresponding binary co-amorphous systems, larger areas under the dissolution curves were achieved, indicating an improvement in dissolution behaviour due to a more gradual increase in dissolved drug concentration and a longer period of maintaining drug supersaturation. There was no negative effect of polymer addition on physical stability at room temperature under dry storage conditions for 6 months. Therefore, it is possible to design ternary co-amorphous drug delivery systems with optimized dissolution characteristics by adding a small amount of polymer into co-amorphous binary systems.&quot;,&quot;author&quot;:[{&quot;dropping-particle&quot;:&quot;&quot;,&quot;family&quot;:&quot;Wang&quot;,&quot;given&quot;:&quot;Yixuan&quot;,&quot;non-dropping-particle&quot;:&quot;&quot;,&quot;parse-names&quot;:false,&quot;suffix&quot;:&quot;&quot;},{&quot;dropping-particle&quot;:&quot;&quot;,&quot;family&quot;:&quot;Grohganz&quot;,&quot;given&quot;:&quot;Holger&quot;,&quot;non-dropping-particle&quot;:&quot;&quot;,&quot;parse-names&quot;:false,&quot;suffix&quot;:&quot;&quot;},{&quot;dropping-particle&quot;:&quot;&quot;,&quot;family&quot;:&quot;Rades&quot;,&quot;given&quot;:&quot;Thomas&quot;,&quot;non-dropping-particle&quot;:&quot;&quot;,&quot;parse-names&quot;:false,&quot;suffix&quot;:&quot;&quot;}],&quot;container-title&quot;:&quot;International Journal of Pharmaceutics&quot;,&quot;id&quot;:&quot;9462569a-2f25-5a2c-a597-1563bfe79bd6&quot;,&quot;issued&quot;:{&quot;date-parts&quot;:[[&quot;2022&quot;]]},&quot;page&quot;:&quot;121625&quot;,&quot;publisher&quot;:&quot;Elsevier B.V.&quot;,&quot;title&quot;:&quot;Effects of polymer addition on the non-strongly interacting binary co-amorphous system carvedilol-tryptophan&quot;,&quot;type&quot;:&quot;article-journal&quot;,&quot;volume&quot;:&quot;617&quot;,&quot;container-title-short&quot;:&quot;&quot;},&quot;uris&quot;:[&quot;http://www.mendeley.com/documents/?uuid=5c7e0470-d52d-4aa4-8e9d-c816d160f61a&quot;],&quot;isTemporary&quot;:false,&quot;legacyDesktopId&quot;:&quot;5c7e0470-d52d-4aa4-8e9d-c816d160f61a&quot;}]},{&quot;citationID&quot;:&quot;MENDELEY_CITATION_ff1d059f-ab60-4179-ba8e-b01533b7d1b7&quot;,&quot;properties&quot;:{&quot;noteIndex&quot;:0},&quot;isEdited&quot;:false,&quot;manualOverride&quot;:{&quot;citeprocText&quot;:&quot;(Lafeber et al., 2022b)&quot;,&quot;isManuallyOverridden&quot;:false,&quot;manualOverrideText&quot;:&quot;&quot;},&quot;citationTag&quot;:&quot;MENDELEY_CITATION_v3_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&quot;,&quot;citationItems&quot;:[{&quot;id&quot;:&quot;72d53fb7-05de-5d20-96a8-cc5d82496219&quot;,&quot;itemData&quot;:{&quot;DOI&quot;:&quot;10.3390/pharmaceutics14020416&quot;,&quot;ISSN&quot;:&quot;19994923&quot;,&quot;abstract&quot;:&quot;3D printing of pediatric-centered drug formulations can provide suitable alternatives to current treatment options, though further research is still warranted for successful clinical imple-mentation of these innovative drug products. Extensive research has been conducted on the com-pliance of 3D-printed drug products to a pediatric quality target product profile. The 3D-printed tablets were of particular interest in providing superior dosing and release profile similarity compared to conventional drug manipulation and compounding methods, such as oral liquids. In the future, acceptance of 3D-printed tablets in the pediatric patient population might be better than current treatments due to improved palatability. Further research should focus on expanding clinical knowledge, providing regulatory guidance and expansion of the product range, including dosage form possibilities. Moreover, it should enable the use of diverse good manufacturing practice (GMP)-ready 3D printing techniques for the production of various drug products for the pediatric patient population.&quot;,&quot;author&quot;:[{&quot;dropping-particle&quot;:&quot;&quot;,&quot;family&quot;:&quot;Lafeber&quot;,&quot;given&quot;:&quot;Iris&quot;,&quot;non-dropping-particle&quot;:&quot;&quot;,&quot;parse-names&quot;:false,&quot;suffix&quot;:&quot;&quot;},{&quot;dropping-particle&quot;:&quot;&quot;,&quot;family&quot;:&quot;Ruijgrok&quot;,&quot;given&quot;:&quot;Elisabeth J.&quot;,&quot;non-dropping-particle&quot;:&quot;&quot;,&quot;parse-names&quot;:false,&quot;suffix&quot;:&quot;&quot;},{&quot;dropping-particle&quot;:&quot;&quot;,&quot;family&quot;:&quot;Guchelaar&quot;,&quot;given&quot;:&quot;Henk Jan&quot;,&quot;non-dropping-particle&quot;:&quot;&quot;,&quot;parse-names&quot;:false,&quot;suffix&quot;:&quot;&quot;},{&quot;dropping-particle&quot;:&quot;&quot;,&quot;family&quot;:&quot;Schimmel&quot;,&quot;given&quot;:&quot;Kirsten J.M.&quot;,&quot;non-dropping-particle&quot;:&quot;&quot;,&quot;parse-names&quot;:false,&quot;suffix&quot;:&quot;&quot;}],&quot;container-title&quot;:&quot;Pharmaceutics&quot;,&quot;id&quot;:&quot;72d53fb7-05de-5d20-96a8-cc5d82496219&quot;,&quot;issue&quot;:&quot;2&quot;,&quot;issued&quot;:{&quot;date-parts&quot;:[[&quot;2022&quot;]]},&quot;title&quot;:&quot;3D Printing of Pediatric Medication: The End of Bad Tasting Oral Liquids?—A Scoping Review&quot;,&quot;type&quot;:&quot;article-journal&quot;,&quot;volume&quot;:&quot;14&quot;,&quot;container-title-short&quot;:&quot;Pharmaceutics&quot;},&quot;uris&quot;:[&quot;http://www.mendeley.com/documents/?uuid=4017c430-99bb-4e82-892b-5a74c659e11e&quot;],&quot;isTemporary&quot;:false,&quot;legacyDesktopId&quot;:&quot;4017c430-99bb-4e82-892b-5a74c659e11e&quot;}]},{&quot;citationID&quot;:&quot;MENDELEY_CITATION_ed0091a3-f4d5-4d58-b4e5-f2d8b0806a70&quot;,&quot;properties&quot;:{&quot;noteIndex&quot;:0},&quot;isEdited&quot;:false,&quot;manualOverride&quot;:{&quot;citeprocText&quot;:&quot;(Bandi et al., 2004; Laquintana et al., 2019a; Michailidou et al., 2021; Page et al., 2016)&quot;,&quot;isManuallyOverridden&quot;:false,&quot;manualOverrideText&quot;:&quot;&quot;},&quot;citationTag&quot;:&quot;MENDELEY_CITATION_v3_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&quot;,&quot;citationItems&quot;:[{&quot;id&quot;:&quot;aae06825-c1d7-5bf5-b151-4e4cfebf510f&quot;,&quot;itemData&quot;:{&quot;DOI&quot;:&quot;10.1016/j.ijpharm.2019.118820&quot;,&quot;ISSN&quot;:&quot;18733476&quot;,&quot;PMID&quot;:&quot;31706864&quot;,&quot;abstract&quot;:&quot;Budesonide (BUD) is a low water soluble (S0 = 5.028·10−5 M) corticosteroid used as preferred therapy for the treatment of Eosinophilic Esophagitis (EoE), a chronic allergic-immune condition with an increased incidence in the paediatric population. Currently there are no commercial medicines indicated for EoE, and, therefore, in the hospital pharmacy the BUD is extemporaneously formulated as viscous oral suspension at the initial dose of 1–2 mg per day for children, highlighting the need of a mucoadhesive drug delivery system (MDDS) that adheres to the site of action and prolongs the therapeutic activity of the administered drug. Considering the ability of hydroxypropyl-β-cyclodextrin (HP-β-CD, 100 mM) to increase the water solubility of BUD (SHP-β-CD = 4.3·10−3 M; K1:1 = 861.11 M−1), a mucoadhesive thiolated HP-β-CD (HP-β-CD-SH) was synthesized and characterized by mass spectroscopy, 1H- and 13C NMR techniques. Phase-solubility studies demonstrated the capability of HP-β-CD-SH (100 mM) to form a reversible water soluble inclusion complex with BUD (SHP-β-CD-SH = 10.9·10−3 M; K1:1 = 2013.52 M−1), which increases its permanence on the target site as proved by mucoadhesive studies on porcine oesophagus mucosa. HP-β-CD-SH might be a useful MDDS for the pharmacist to prepare BUD oral liquid formulations at the recommended doses, with pH values below 5, which guarantee the chemical stability of the new mucoadhesive excipient.&quot;,&quot;author&quot;:[{&quot;dropping-particle&quot;:&quot;&quot;,&quot;family&quot;:&quot;Laquintana&quot;,&quot;given&quot;:&quot;Valentino&quot;,&quot;non-dropping-particle&quot;:&quot;&quot;,&quot;parse-names&quot;:false,&quot;suffix&quot;:&quot;&quot;},{&quot;dropping-particle&quot;:&quot;&quot;,&quot;family&quot;:&quot;Asim&quot;,&quot;given&quot;:&quot;Mulazim Hussain&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Bernkop-Schnürch&quot;,&quot;given&quot;:&quot;Andreas&quot;,&quot;non-dropping-particle&quot;:&quot;&quot;,&quot;parse-names&quot;:false,&quot;suffix&quot;:&quot;&quot;},{&quot;dropping-particle&quot;:&quot;&quot;,&quot;family&quot;:&quot;Denora&quot;,&quot;given&quot;:&quot;Nunzio&quot;,&quot;non-dropping-particle&quot;:&quot;&quot;,&quot;parse-names&quot;:false,&quot;suffix&quot;:&quot;&quot;}],&quot;container-title&quot;:&quot;International Journal of Pharmaceutics&quot;,&quot;id&quot;:&quot;aae06825-c1d7-5bf5-b151-4e4cfebf510f&quot;,&quot;issue&quot;:&quot;November&quot;,&quot;issued&quot;:{&quot;date-parts&quot;:[[&quot;2019&quot;]]},&quot;page&quot;:&quot;118820&quot;,&quot;publisher&quot;:&quot;Elsevier&quot;,&quot;title&quot;:&quot;Thiolated hydroxypropyl-β-cyclodextrin as mucoadhesive excipient for oral delivery of budesonide in liquid paediatric formulation&quot;,&quot;type&quot;:&quot;article-journal&quot;,&quot;volume&quot;:&quot;572&quot;,&quot;container-title-short&quot;:&quot;&quot;},&quot;uris&quot;:[&quot;http://www.mendeley.com/documents/?uuid=e2c4de31-a1b5-432f-9ebf-f8ad7d811a6d&quot;],&quot;isTemporary&quot;:false,&quot;legacyDesktopId&quot;:&quot;e2c4de31-a1b5-432f-9ebf-f8ad7d811a6d&quot;},{&quot;id&quot;:&quot;b1924dee-0dca-5dca-bbdb-1ef64c449929&quot;,&quot;itemData&quot;:{&quot;DOI&quot;:&quot;10.1016/j.ejps.2004.06.007&quot;,&quot;ISSN&quot;:&quot;09280987&quot;,&quot;PMID&quot;:&quot;15451004&quot;,&quot;abstract&quot;:&quot;The purpose of this study was to determine whether budesonide- and indomethacin-hydroxypropyl-beta-cyclodextrin (HPBCD) complexes could be formed using a supercritical fluid (SCF) process. The process involved the exposure of drug-HPBCD mixtures to supercritical carbon dioxide (SC CO2). The ability of the SCF process to form complexes was assessed by determining drug dissolution, drug crystallinity, and drug-excipient interactions. Drug dissolution was assessed using a HPLC assay. Crystallinity was assessed using powder X-ray diffraction (PXRD) and differential scanning calorimetry (DSC). Drug-excipient interactions were characterized using Fourier transform infrared spectroscopy (FTIR). Scanning electron microscopy (SEM) was used to determine any morphological changes. SC CO2 process did not alter the dissolution rate of pure drugs but resulted in two- and three-fold higher dissolution rates for budesonide- and indomethacin-HPBCD mixtures, respectively. SCF-processed mixtures exhibited a disappearance of the crystalline peaks of the drugs (PXRD), a partial or complete absence of the melting endotherm of the drugs (DSC), and a shift in the C=O stretching of the carboxyl groups of the drugs (FTIR), consistent with the loss of drug crystallinity and formation of intermolecular bonds with HPBCD. SEM indicated no discernible drug crystals upon physical mixing with or without SCF processing. Thus, budesonide- and indomethacin-HPBCD complexes with enhanced dissolution rate can be formed using a single-step, organic solvent-free SC CO2 process.&quot;,&quot;author&quot;:[{&quot;dropping-particle&quot;:&quot;&quot;,&quot;family&quot;:&quot;Bandi&quot;,&quot;given&quot;:&quot;Nagesh&quot;,&quot;non-dropping-particle&quot;:&quot;&quot;,&quot;parse-names&quot;:false,&quot;suffix&quot;:&quot;&quot;},{&quot;dropping-particle&quot;:&quot;&quot;,&quot;family&quot;:&quot;Wei&quot;,&quot;given&quot;:&quot;William&quot;,&quot;non-dropping-particle&quot;:&quot;&quot;,&quot;parse-names&quot;:false,&quot;suffix&quot;:&quot;&quot;},{&quot;dropping-particle&quot;:&quot;&quot;,&quot;family&quot;:&quot;Roberts&quot;,&quot;given&quot;:&quot;Christopher B.&quot;,&quot;non-dropping-particle&quot;:&quot;&quot;,&quot;parse-names&quot;:false,&quot;suffix&quot;:&quot;&quot;},{&quot;dropping-particle&quot;:&quot;&quot;,&quot;family&quot;:&quot;Kotra&quot;,&quot;given&quot;:&quot;Lakshmi P.&quot;,&quot;non-dropping-particle&quot;:&quot;&quot;,&quot;parse-names&quot;:false,&quot;suffix&quot;:&quot;&quot;},{&quot;dropping-particle&quot;:&quot;&quot;,&quot;family&quot;:&quot;Kompella&quot;,&quot;given&quot;:&quot;Uday B.&quot;,&quot;non-dropping-particle&quot;:&quot;&quot;,&quot;parse-names&quot;:false,&quot;suffix&quot;:&quot;&quot;}],&quot;container-title&quot;:&quot;European journal of pharmaceutical sciences : official journal of the European Federation for Pharmaceutical Sciences&quot;,&quot;id&quot;:&quot;b1924dee-0dca-5dca-bbdb-1ef64c449929&quot;,&quot;issue&quot;:&quot;2&quot;,&quot;issued&quot;:{&quot;date-parts&quot;:[[&quot;2004&quot;]]},&quot;page&quot;:&quot;159-168&quot;,&quot;title&quot;:&quot;Preparation of budesonide- and indomethacin-hydroxypropyl-beta-cyclodextrin (HPBCD) complexes using a single-step, organic-solvent-free supercritical fluid process.&quot;,&quot;type&quot;:&quot;article-journal&quot;,&quot;volume&quot;:&quot;23&quot;,&quot;container-title-short&quot;:&quot;Eur J Pharm Sci&quot;},&quot;uris&quot;:[&quot;http://www.mendeley.com/documents/?uuid=f54eb0ea-40f9-4ea6-9324-e7fcfffa4783&quot;],&quot;isTemporary&quot;:false,&quot;legacyDesktopId&quot;:&quot;f54eb0ea-40f9-4ea6-9324-e7fcfffa4783&quot;},{&quot;id&quot;:&quot;787cb36a-2203-5cae-89e1-b307b341e417&quot;,&quot;itemData&quot;:{&quot;DOI&quot;:&quot;10.1007/978-3-319-42609-9_8&quot;,&quot;ISSN&quot;:&quot;2210738X&quot;,&quot;abstract&quot;:&quot;A structured development approach is presented to guide the development of stable and commercially viable polymer based amorphous formulations. The proposed approach should not only enable the delivery of poorly soluble drugs but also help to reduce the API needs, reduce in vivo screening, minimize risks for late-stage development, and should ensure consistent quality. During initial assessment, a guided evaluation of the physicochemical properties of the API helps to assess the degree of difficulty for the development. A range of tests including in silico evaluation, high-throughput screening assays, and miniaturized screening tools provide a road map for selecting the appropriate polymer, drug loading, and suitable manufacturing process. A dedicated section provides a review of the characterization tools to assess and quantify the crystallinity, understanding the phase behavior of amorphous solid dispersions, and designing the in vitro dissolution methods. Finally, a reference chart is provided that summarizes the key concepts proposed as part of the structured development approach that can serve as a blueprint for the development of amorphous formulations. The current authors would like to thank and acknowledge the significant contribution of the previous authors of this chapter from the first edition. This current second edition chapter is a revision and update of the original authors’ work.&quot;,&quot;author&quot;:[{&quot;dropping-particle&quot;:&quot;&quot;,&quot;family&quot;:&quot;Page&quot;,&quot;given&quot;:&quot;Susanne&quot;,&quot;non-dropping-particle&quot;:&quot;&quot;,&quot;parse-names&quot;:false,&quot;suffix&quot;:&quot;&quot;},{&quot;dropping-particle&quot;:&quot;&quot;,&quot;family&quot;:&quot;Maurer&quot;,&quot;given&quot;:&quot;Reto&quot;,&quot;non-dropping-particle&quot;:&quot;&quot;,&quot;parse-names&quot;:false,&quot;suffix&quot;:&quot;&quot;},{&quot;dropping-particle&quot;:&quot;&quot;,&quot;family&quot;:&quot;Wyttenbach&quot;,&quot;given&quot;:&quot;Nicole&quot;,&quot;non-dropping-particle&quot;:&quot;&quot;,&quot;parse-names&quot;:false,&quot;suffix&quot;:&quot;&quot;}],&quot;container-title&quot;:&quot;AAPS Advances in the Pharmaceutical Sciences Series&quot;,&quot;id&quot;:&quot;787cb36a-2203-5cae-89e1-b307b341e417&quot;,&quot;issued&quot;:{&quot;date-parts&quot;:[[&quot;2016&quot;]]},&quot;page&quot;:&quot;329-382&quot;,&quot;title&quot;:&quot;Structured development approach for amorphous systems&quot;,&quot;type&quot;:&quot;article-journal&quot;,&quot;volume&quot;:&quot;22&quot;,&quot;container-title-short&quot;:&quot;&quot;},&quot;uris&quot;:[&quot;http://www.mendeley.com/documents/?uuid=56f305eb-7e26-4e14-b957-9cef9706de4f&quot;],&quot;isTemporary&quot;:false,&quot;legacyDesktopId&quot;:&quot;56f305eb-7e26-4e14-b957-9cef9706de4f&quot;},{&quot;id&quot;:&quot;869c905b-fc8b-546e-a20b-2f2aed7dfcfc&quot;,&quot;itemData&quot;:{&quot;DOI&quot;:&quot;10.3390/app112412085&quot;,&quot;ISSN&quot;:&quot;20763417&quot;,&quot;abstract&quot;:&quot;Chronic obstructive pulmonary disease (COPD) is a life-threatening disease of the respira-tory system, affecting many patients worldwide. Budesonide (BUD), a synthetic glucocorticosteroid applied for the treatment of COPD patients, is a hydrophobic compound with low bioavailability. The formation of inclusion complexes of hydrophobic compounds with β-cyclodextrin (CD) through the solvent evaporation technique is an appealing method for the amelioration of the compounds’ in vitro release behavior. In the present study, CD–BUD complexes were prepared through the solvent evaporation technique. The effect of the applied solvent was evaluated through FTIR, scanning electron microscopy (SEM), X-ray diffraction (XRD) analysis, and in vitro release behavior measurements. It was found that the optimum complexes with the minimum degree of crystallinity and the optimum in vitro release behavior are prepared in the solvent ratio H2O/EtOH 80/20 v/v. In a further step, the formation of CD–BUD complexes containing different amounts of BUD was prepared. Through XRD measurements, the degree of crystallinity of the samples was calculated confirming the diminished crystallinity of BUD in CD complexes. The in vitro release of the samples showed the improved release behavior of BUD from the complexes in comparison to neat BUD while a direct correlation between the degree of crystallinity and in vitro release behavior was demonstrated.&quot;,&quot;author&quot;:[{&quot;dropping-particle&quot;:&quot;&quot;,&quot;family&quot;:&quot;Michailidou&quot;,&quot;given&quot;:&quot;Georgia&quot;,&quot;non-dropping-particle&quot;:&quot;&quot;,&quot;parse-names&quot;:false,&quot;suffix&quot;:&quot;&quot;},{&quot;dropping-particle&quot;:&quot;&quot;,&quot;family&quot;:&quot;Papageorgiou&quot;,&quot;given&quot;:&quot;George Z.&quot;,&quot;non-dropping-particle&quot;:&quot;&quot;,&quot;parse-names&quot;:false,&quot;suffix&quot;:&quot;&quot;},{&quot;dropping-particle&quot;:&quot;&quot;,&quot;family&quot;:&quot;Bikiaris&quot;,&quot;given&quot;:&quot;Dimitrios N.&quot;,&quot;non-dropping-particle&quot;:&quot;&quot;,&quot;parse-names&quot;:false,&quot;suffix&quot;:&quot;&quot;}],&quot;container-title&quot;:&quot;Applied Sciences (Switzerland)&quot;,&quot;id&quot;:&quot;869c905b-fc8b-546e-a20b-2f2aed7dfcfc&quot;,&quot;issue&quot;:&quot;24&quot;,&quot;issued&quot;:{&quot;date-parts&quot;:[[&quot;2021&quot;]]},&quot;title&quot;:&quot;β-Cyclodextrin Inclusion Complexes of Budesonide with Enhanced Bioavailability for COPD Treatment&quot;,&quot;type&quot;:&quot;article-journal&quot;,&quot;volume&quot;:&quot;11&quot;,&quot;container-title-short&quot;:&quot;&quot;},&quot;uris&quot;:[&quot;http://www.mendeley.com/documents/?uuid=b6f8e2e2-176c-4eb8-85be-d4abffec2e38&quot;],&quot;isTemporary&quot;:false,&quot;legacyDesktopId&quot;:&quot;b6f8e2e2-176c-4eb8-85be-d4abffec2e38&quot;}]},{&quot;citationID&quot;:&quot;MENDELEY_CITATION_13c2185b-a707-4797-9dc2-8e722ff30acb&quot;,&quot;properties&quot;:{&quot;noteIndex&quot;:0},&quot;isEdited&quot;:false,&quot;manualOverride&quot;:{&quot;citeprocText&quot;:&quot;(Medarević et al., 2015; Patel and Vavia, 2008)&quot;,&quot;isManuallyOverridden&quot;:false,&quot;manualOverrideText&quot;:&quot;&quot;},&quot;citationTag&quot;:&quot;MENDELEY_CITATION_v3_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&quot;,&quot;citationItems&quot;:[{&quot;id&quot;:&quot;ce53ddc0-97c4-510a-b756-df58ff6d5667&quot;,&quot;itemData&quot;:{&quot;DOI&quot;:&quot;10.1016/j.ejps.2015.08.001&quot;,&quot;ISSN&quot;:&quot;18790720&quot;,&quot;PMID&quot;:&quot;26255049&quot;,&quot;abstract&quot;:&quot;In this study binary carbamazepine-hydroxypropyl-β-cyclodextrin, as well as ternary carbamazepine-hydroxypropyl-β-cyclodextrin-hydrophilic polymer systems were used to improve dissolution rate of carbamazepine. It has been shown that addition of hydrophilic polymers (Soluplus® and two types of hydroxypropyl methylcellulose-Metolose® 90SH-100 and Metolose® 65SH-1500) significantly increased solubilization capacity of hydroxypropyl-β-cyclodextrin for carbamazepine. Evaluation of carbamazepine-hydroxypropyl-β-cyclodextrin-hydrophilic polymer interactions using molecular modeling techniques showed interactions between carbamazepine, which dissociates from inclusion complexes and hydroxypropyl methylcellulose that can prevent crystallization of dissolved carbamazepine. These results can contribute to better understanding of drug-cyclodextrin-hydrophilic polymer interactions which are still not well understood. After evaluation of carbamazepine solubilization with hydroxypropyl-β-cyclodextrin and hydrophilic polymers, both binary carbamazepine-hydroxypropyl-β-cyclodextrin and ternary carbamazepine-hydroxypropyl-β-cyclodextrin-hydrophilic polymer systems were prepared by spray drying. The results of solid state characterization methods showed amorphous nature of carbamazepine in all spray dried systems, which together with the results of molecular modeling techniques indicates inclusion complex formation. Carbamazepine dissolution rate was significantly improved from spray dried formulations compared to pure drug. Binary carbamazepine-hydroxypropyl-β-cyclodextrin and ternary carbamazepine-hydroxypropyl-β-cyclodextrin-Soluplus® systems exhibited the fastest carbamazepine release, wherein the entire amount of carbamazepine was released during first 5 min.&quot;,&quot;author&quot;:[{&quot;dropping-particle&quot;:&quot;&quot;,&quot;family&quot;:&quot;Medarević&quot;,&quot;given&quot;:&quot;Djordje&quot;,&quot;non-dropping-particle&quot;:&quot;&quot;,&quot;parse-names&quot;:false,&quot;suffix&quot;:&quot;&quot;},{&quot;dropping-particle&quot;:&quot;&quot;,&quot;family&quot;:&quot;Kachrimanis&quot;,&quot;given&quot;:&quot;Kyriakos&quot;,&quot;non-dropping-particle&quot;:&quot;&quot;,&quot;parse-names&quot;:false,&quot;suffix&quot;:&quot;&quot;},{&quot;dropping-particle&quot;:&quot;&quot;,&quot;family&quot;:&quot;Djurić&quot;,&quot;given&quot;:&quot;Zorica&quot;,&quot;non-dropping-particle&quot;:&quot;&quot;,&quot;parse-names&quot;:false,&quot;suffix&quot;:&quot;&quot;},{&quot;dropping-particle&quot;:&quot;&quot;,&quot;family&quot;:&quot;Ibrić&quot;,&quot;given&quot;:&quot;Svetlana&quot;,&quot;non-dropping-particle&quot;:&quot;&quot;,&quot;parse-names&quot;:false,&quot;suffix&quot;:&quot;&quot;}],&quot;container-title&quot;:&quot;European Journal of Pharmaceutical Sciences&quot;,&quot;id&quot;:&quot;ce53ddc0-97c4-510a-b756-df58ff6d5667&quot;,&quot;issued&quot;:{&quot;date-parts&quot;:[[&quot;2015&quot;]]},&quot;page&quot;:&quot;273-285&quot;,&quot;title&quot;:&quot;Influence of hydrophilic polymers on the complexation of carbamazepine with hydroxypropyl-β-cyclodextrin&quot;,&quot;type&quot;:&quot;article-journal&quot;,&quot;volume&quot;:&quot;78&quot;,&quot;container-title-short&quot;:&quot;&quot;},&quot;uris&quot;:[&quot;http://www.mendeley.com/documents/?uuid=f0ff2fc5-8ba1-41ef-a249-6e2258b42f75&quot;],&quot;isTemporary&quot;:false,&quot;legacyDesktopId&quot;:&quot;f0ff2fc5-8ba1-41ef-a249-6e2258b42f75&quot;},{&quot;id&quot;:&quot;e9e6cbf7-74d5-56be-a1b6-023ef36e169c&quot;,&quot;itemData&quot;:{&quot;DOI&quot;:&quot;10.1208/s12249-008-9078-0&quot;,&quot;ISSN&quot;:&quot;15309932&quot;,&quot;PMID&quot;:&quot;18431648&quot;,&quot;abstract&quot;:&quot;The main aim of the present study was to evaluate potential of ternary complexation (comprising of drug, cyclodextrin and polymer) as an approach for taste masking. For this purpose famotidine with property of bitter taste was selected as a model drug. Improvement in taste masking capability of cyclodextrin towards famotidine was evaluated by formulating a ternary complex including hydrophilic polymer hydroxyl propyl methyl cellulose (HPMC 5 cps) as the third component. Phase solubility analysis at 25 Deg;C was carried out for both the binary systems (viz. drug-cyclodextrin and drug-polymer) and the ternary system (drug-cyclodextrin-polymer). Ternary complex was prepared using solution method and was further characterized using XRD, DSC, FT-IR and microscopic studies. In vitro dissolution study was carried out to see the effect of ternary complexation on drug release. Taste perception study was carried out on human volunteers to evaluate the taste masking ability of ternary complexation. Results obtained from phase solubility analysis showed that the combined use of polymer and cyclodextrin effectively increased the stability constant of the complex [from 538 M-1 for binary system to 15,096 M-1 for ternary system]. Ternary system showed effective taste masking as compared to binary complex and at the same time showed no limiting effect on the drug release (D.E15min=90%). The effective taste masking was attributed to the enhanced complexation of famotidine in ternary system compared to binary system and the same was confirmed from the characterization studies. In conclusion, the study confirmed that ternary complexation can be utilized as an alternative approach for effective taste masking. © American Association of Pharmaceutical Scientists 2008.&quot;,&quot;author&quot;:[{&quot;dropping-particle&quot;:&quot;&quot;,&quot;family&quot;:&quot;Patel&quot;,&quot;given&quot;:&quot;Ashok R.&quot;,&quot;non-dropping-particle&quot;:&quot;&quot;,&quot;parse-names&quot;:false,&quot;suffix&quot;:&quot;&quot;},{&quot;dropping-particle&quot;:&quot;&quot;,&quot;family&quot;:&quot;Vavia&quot;,&quot;given&quot;:&quot;Pradeep R.&quot;,&quot;non-dropping-particle&quot;:&quot;&quot;,&quot;parse-names&quot;:false,&quot;suffix&quot;:&quot;&quot;}],&quot;container-title&quot;:&quot;AAPS PharmSciTech&quot;,&quot;id&quot;:&quot;e9e6cbf7-74d5-56be-a1b6-023ef36e169c&quot;,&quot;issue&quot;:&quot;2&quot;,&quot;issued&quot;:{&quot;date-parts&quot;:[[&quot;2008&quot;]]},&quot;page&quot;:&quot;544-550&quot;,&quot;title&quot;:&quot;Preparation and evaluation of taste masked famotidine formulation using drug/β-cyclodextrin/polymer ternary complexation approach&quot;,&quot;type&quot;:&quot;article-journal&quot;,&quot;volume&quot;:&quot;9&quot;,&quot;container-title-short&quot;:&quot;AAPS PharmSciTech&quot;},&quot;uris&quot;:[&quot;http://www.mendeley.com/documents/?uuid=eeb66a82-72f3-45e1-a026-e503ce42f686&quot;],&quot;isTemporary&quot;:false,&quot;legacyDesktopId&quot;:&quot;eeb66a82-72f3-45e1-a026-e503ce42f686&quot;}]},{&quot;citationID&quot;:&quot;MENDELEY_CITATION_f89a552c-0107-4781-a7ef-5a01e9df7a3a&quot;,&quot;properties&quot;:{&quot;noteIndex&quot;:0},&quot;isEdited&quot;:false,&quot;manualOverride&quot;:{&quot;citeprocText&quot;:&quot;(Takano et al., 2020)&quot;,&quot;isManuallyOverridden&quot;:false,&quot;manualOverrideText&quot;:&quot;&quot;},&quot;citationTag&quot;:&quot;MENDELEY_CITATION_v3_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&quot;,&quot;citationItems&quot;:[{&quot;id&quot;:&quot;38bf1da6-3659-5cb7-8f67-03f67ad0b00a&quot;,&quot;itemData&quot;:{&quot;DOI&quot;:&quot;10.1021/acs.molpharmaceut.9b01109&quot;,&quot;ISSN&quot;:&quot;15438392&quot;,&quot;PMID&quot;:&quot;31794228&quot;,&quot;abstract&quot;:&quot;Amorphous solid dispersions (ASD) are increasingly used to improve the oral bioavailability of poorly water-soluble compounds. However, hydrophilic polymers in ASD have high water-binding properties and, upon water contact, they often form a gel on the surface of the tablet, impacting the rate and extent of drug release. Most inorganic salts decrease water solubility of organic solutes, changing the gel properties of hydrophilic polymers. In this study, the effect of inorganic salts on drug release from a tablet formulation containing an itraconazole (ITZ)-hydroxypropyl methyl cellulose (HPMC) extrudate was investigated. The cloud point of a 1% HPMC solution with and without inorganic salts (KCl, KH2PO4, KHCO3, and potassium iodate (KI)) was determined to classify the salts according to their salting-out or salting-in effect. A kosmotropic effect on HPMC was observed for KCl, KH2PO4, and KHCO3, whereas KI exhibited a chaotropic effect. To prove the effect of these salts on drug release, tablets containing 66% of ITZ-HPMC extrudate (20:80 w/w %), 4% croscarmellose sodium, 30% microcrystalline cellulose, and different types and amounts of KHCO3, KH2PO4, KCl, and KI were compressed (same solid fraction of 0.83-0.85). Tablets without salts showed a slow release and low peak concentrations during dissolution in simulated gastric fluids. By adding the kosmotropic salts to the tablets, the rate and extent of drug release were increased, whereas the chaotropic anion iodide had no effect. The effect was pronounced even with the addition of as little as 2% of inorganic salts and tended to increase with the increasing amount of salt in the formulation. Tablets without salt stored under either dry or humid conditions exhibited a large difference in dissolution profiles, whereas little variation was observed for tablets with kosmotropic salts. In conclusion, the effect of inorganic salts was mechanistically clarified on ASD containing commonly used HPMC. This approach can be beneficial to successfully develop robust formulations containing ASD.&quot;,&quot;author&quot;:[{&quot;dropping-particle&quot;:&quot;&quot;,&quot;family&quot;:&quot;Takano&quot;,&quot;given&quot;:&quot;Ryusuke&quot;,&quot;non-dropping-particle&quot;:&quot;&quot;,&quot;parse-names&quot;:false,&quot;suffix&quot;:&quot;&quot;},{&quot;dropping-particle&quot;:&quot;&quot;,&quot;family&quot;:&quot;Maurer&quot;,&quot;given&quot;:&quot;Reto&quot;,&quot;non-dropping-particle&quot;:&quot;&quot;,&quot;parse-names&quot;:false,&quot;suffix&quot;:&quot;&quot;},{&quot;dropping-particle&quot;:&quot;&quot;,&quot;family&quot;:&quot;Jacob&quot;,&quot;given&quot;:&quot;Laurence&quot;,&quot;non-dropping-particle&quot;:&quot;&quot;,&quot;parse-names&quot;:false,&quot;suffix&quot;:&quot;&quot;},{&quot;dropping-particle&quot;:&quot;&quot;,&quot;family&quot;:&quot;Stowasser&quot;,&quot;given&quot;:&quot;Frank&quot;,&quot;non-dropping-particle&quot;:&quot;&quot;,&quot;parse-names&quot;:false,&quot;suffix&quot;:&quot;&quot;},{&quot;dropping-particle&quot;:&quot;&quot;,&quot;family&quot;:&quot;Stillhart&quot;,&quot;given&quot;:&quot;Cordula&quot;,&quot;non-dropping-particle&quot;:&quot;&quot;,&quot;parse-names&quot;:false,&quot;suffix&quot;:&quot;&quot;},{&quot;dropping-particle&quot;:&quot;&quot;,&quot;family&quot;:&quot;Page&quot;,&quot;given&quot;:&quot;Susanne&quot;,&quot;non-dropping-particle&quot;:&quot;&quot;,&quot;parse-names&quot;:false,&quot;suffix&quot;:&quot;&quot;}],&quot;container-title&quot;:&quot;Molecular Pharmaceutics&quot;,&quot;id&quot;:&quot;38bf1da6-3659-5cb7-8f67-03f67ad0b00a&quot;,&quot;issue&quot;:&quot;8&quot;,&quot;issued&quot;:{&quot;date-parts&quot;:[[&quot;2020&quot;]]},&quot;page&quot;:&quot;2768-2778&quot;,&quot;title&quot;:&quot;Formulating Amorphous Solid Dispersions: Impact of Inorganic Salts on Drug Release from Tablets Containing Itraconazole-HPMC Extrudate&quot;,&quot;type&quot;:&quot;article-journal&quot;,&quot;volume&quot;:&quot;17&quot;,&quot;container-title-short&quot;:&quot;&quot;},&quot;uris&quot;:[&quot;http://www.mendeley.com/documents/?uuid=544d561b-ad4a-441b-a71c-f0c63d0a9e8a&quot;],&quot;isTemporary&quot;:false,&quot;legacyDesktopId&quot;:&quot;544d561b-ad4a-441b-a71c-f0c63d0a9e8a&quot;}]},{&quot;citationID&quot;:&quot;MENDELEY_CITATION_5e0f5ff1-4b43-4a3f-ba0a-6f9246b11df4&quot;,&quot;properties&quot;:{&quot;noteIndex&quot;:0},&quot;isEdited&quot;:false,&quot;manualOverride&quot;:{&quot;citeprocText&quot;:&quot;(Alhijjaj et al., 2016)&quot;,&quot;isManuallyOverridden&quot;:false,&quot;manualOverrideText&quot;:&quot;&quot;},&quot;citationTag&quot;:&quot;MENDELEY_CITATION_v3_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&quot;,&quot;citationItems&quot;:[{&quot;id&quot;:&quot;39ea055a-995d-5be7-a1a4-680bfcfba56f&quot;,&quot;itemData&quot;:{&quot;DOI&quot;:&quot;10.1016/j.ejpb.2016.08.016&quot;,&quot;ISSN&quot;:&quot;18733441&quot;,&quot;PMID&quot;:&quot;27594210&quot;,&quot;abstract&quot;:&quot;FDM 3D printing has been recently attracted increasing research efforts towards the production of personalized solid oral formulations. However, commercially available FDM printers are extremely limited with regards to the materials that can be processed to few types of thermoplastic polymers, which often may not be pharmaceutically approved materials nor ideal for optimizing dosage form performance of poor soluble compounds. This study explored the use of polymer blends as a formulation strategy to overcome this processability issue and to provide adjustable drug release rates from the printed dispersions. Solid dispersions of felodipine, the model drug, were successfully fabricated using FDM 3D printing with polymer blends of PEG, PEO and Tween 80 with either Eudragit E PO or Soluplus. As PVA is one of most widely used polymers in FDM 3D printing, a PVA based solid dispersion was used as a benchmark to compare the polymer blend systems to in terms of processability. The polymer blends exhibited excellent printability and were suitable for processing using a commercially available FDM 3D printer. With 10% drug loading, all characterization data indicated that the model drug was molecularly dispersed in the matrices. During in vitro dissolution testing, it was clear that the disintegration behavior of the formulations significantly influenced the rates of drug release. Eudragit EPO based blend dispersions showed bulk disintegration; whereas the Soluplus based blends showed the ‘peeling’ style disintegration of strip-by-strip. The results indicated that interplay of the miscibility between excipients in the blends, the solubility of the materials in the dissolution media and the degree of fusion between the printed strips during FDM process can be used to manipulate the drug release rate of the dispersions. This brings new insight into the design principles of controlled release formulations using FDM 3D printing.&quot;,&quot;author&quot;:[{&quot;dropping-particle&quot;:&quot;&quot;,&quot;family&quot;:&quot;Alhijjaj&quot;,&quot;given&quot;:&quot;Muqdad&quot;,&quot;non-dropping-particle&quot;:&quot;&quot;,&quot;parse-names&quot;:false,&quot;suffix&quot;:&quot;&quot;},{&quot;dropping-particle&quot;:&quot;&quot;,&quot;family&quot;:&quot;Belton&quot;,&quot;given&quot;:&quot;Peter&quot;,&quot;non-dropping-particle&quot;:&quot;&quot;,&quot;parse-names&quot;:false,&quot;suffix&quot;:&quot;&quot;},{&quot;dropping-particle&quot;:&quot;&quot;,&quot;family&quot;:&quot;Qi&quot;,&quot;given&quot;:&quot;Sheng&quot;,&quot;non-dropping-particle&quot;:&quot;&quot;,&quot;parse-names&quot;:false,&quot;suffix&quot;:&quot;&quot;}],&quot;container-title&quot;:&quot;European Journal of Pharmaceutics and Biopharmaceutics&quot;,&quot;id&quot;:&quot;39ea055a-995d-5be7-a1a4-680bfcfba56f&quot;,&quot;issued&quot;:{&quot;date-parts&quot;:[[&quot;2016&quot;]]},&quot;page&quot;:&quot;111-125&quot;,&quot;publisher&quot;:&quot;Elsevier B.V.&quot;,&quot;title&quot;:&quot;An investigation into the use of polymer blends to improve the printability of and regulate drug release from pharmaceutical solid dispersions prepared via fused deposition modeling (FDM) 3D printing&quot;,&quot;type&quot;:&quot;article-journal&quot;,&quot;volume&quot;:&quot;108&quot;,&quot;container-title-short&quot;:&quot;&quot;},&quot;uris&quot;:[&quot;http://www.mendeley.com/documents/?uuid=1b5e52c1-b11d-4336-99f8-8f79c3e50b6b&quot;],&quot;isTemporary&quot;:false,&quot;legacyDesktopId&quot;:&quot;1b5e52c1-b11d-4336-99f8-8f79c3e50b6b&quot;}]},{&quot;citationID&quot;:&quot;MENDELEY_CITATION_cad2d936-9a19-490f-99f9-79b05e5c03da&quot;,&quot;properties&quot;:{&quot;noteIndex&quot;:0},&quot;isEdited&quot;:false,&quot;manualOverride&quot;:{&quot;citeprocText&quot;:&quot;(Gao et al., 2006; Rabito et al., 2012)&quot;,&quot;isManuallyOverridden&quot;:false,&quot;manualOverrideText&quot;:&quot;&quot;},&quot;citationTag&quot;:&quot;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&quot;,&quot;citationItems&quot;:[{&quot;id&quot;:&quot;161d06d8-24b9-5da5-b2b0-07ab5c003ccf&quot;,&quot;itemData&quot;:{&quot;DOI&quot;:&quot;10.1016/j.ijpharm.2006.05.035&quot;,&quot;ISSN&quot;:&quot;03785173&quot;,&quot;PMID&quot;:&quot;16806752&quot;,&quot;abstract&quot;:&quot;The objective of this study was to develop meloxicam-loaded colon-specific pellets coated with Eudragit® FS 30 D and further evaluate their in vitro release and in vivo absorption in beagle dogs. Meloxicam-loaded cores (drug loading, 4.8%, w/w) were prepared by layering drug-binder (HPMC)-solubilizer (β-cyclodextrin) solution onto nonpareils (710-850 μm) and then coated with a copolymer of methyl acrylate, methyl methacrylate and methacrylic acid (Eudragit® FS 30 D). The obtained pellets with 15% (w/w) coating level had a spherical form and a smooth surface with coating thickness approximately 28 μm. The in vitro drug release from the pellets was pH-dependent with sufficient gastric resistance (pH 1.2: no release; pH 6.8: 6%; pH 7.0: 52%; pH 7.2: 100%; pH 7.4: 100%, after 3 h incubation). In vivo study was carried out using pentagastrin-pretreated beagle dogs. The onset of meloxicam absorption from the coated pellets with 15% (w/w) Eudragit® FS 30 D (3.0 ± 0.8 h) was significantly delayed (p &lt; 0.05) compared to that from the uncoated drug-layered cores (0.6 ± 0.3 h). The area under the meloxicam plasma concentration-time curve (AUC0→96 h) was not significantly different between the two preparations (p &gt; 0.05), although AUC0→96 h obtained after oral administration of coated pellets (142.5 ± 59.6 μg h/ml) was lower than that obtained after administration of uncoated drug-layered cores (180.8 ± 61.9 μg h/ml). These results suggested that meloxicam could be delivered to the colon with 15% (w/w) coating level of Eudragit® FS 30 D and this polymer coating had no significant influence on the relative bioavailability of meloxicam of the pellets. © 2006 Elsevier B.V. All rights reserved.&quot;,&quot;author&quot;:[{&quot;dropping-particle&quot;:&quot;&quot;,&quot;family&quot;:&quot;Gao&quot;,&quot;given&quot;:&quot;Chunsheng&quot;,&quot;non-dropping-particle&quot;:&quot;&quot;,&quot;parse-names&quot;:false,&quot;suffix&quot;:&quot;&quot;},{&quot;dropping-particle&quot;:&quot;&quot;,&quot;family&quot;:&quot;Huang&quot;,&quot;given&quot;:&quot;Jian&quot;,&quot;non-dropping-particle&quot;:&quot;&quot;,&quot;parse-names&quot;:false,&quot;suffix&quot;:&quot;&quot;},{&quot;dropping-particle&quot;:&quot;&quot;,&quot;family&quot;:&quot;Jiao&quot;,&quot;given&quot;:&quot;Yan&quot;,&quot;non-dropping-particle&quot;:&quot;&quot;,&quot;parse-names&quot;:false,&quot;suffix&quot;:&quot;&quot;},{&quot;dropping-particle&quot;:&quot;&quot;,&quot;family&quot;:&quot;Shan&quot;,&quot;given&quot;:&quot;Li&quot;,&quot;non-dropping-particle&quot;:&quot;&quot;,&quot;parse-names&quot;:false,&quot;suffix&quot;:&quot;&quot;},{&quot;dropping-particle&quot;:&quot;&quot;,&quot;family&quot;:&quot;Liu&quot;,&quot;given&quot;:&quot;Yan&quot;,&quot;non-dropping-particle&quot;:&quot;&quot;,&quot;parse-names&quot;:false,&quot;suffix&quot;:&quot;&quot;},{&quot;dropping-particle&quot;:&quot;&quot;,&quot;family&quot;:&quot;Li&quot;,&quot;given&quot;:&quot;Ying&quot;,&quot;non-dropping-particle&quot;:&quot;&quot;,&quot;parse-names&quot;:false,&quot;suffix&quot;:&quot;&quot;},{&quot;dropping-particle&quot;:&quot;&quot;,&quot;family&quot;:&quot;Mei&quot;,&quot;given&quot;:&quot;Xingguo&quot;,&quot;non-dropping-particle&quot;:&quot;&quot;,&quot;parse-names&quot;:false,&quot;suffix&quot;:&quot;&quot;}],&quot;container-title&quot;:&quot;International Journal of Pharmaceutics&quot;,&quot;id&quot;:&quot;161d06d8-24b9-5da5-b2b0-07ab5c003ccf&quot;,&quot;issue&quot;:&quot;1-2&quot;,&quot;issued&quot;:{&quot;date-parts&quot;:[[&quot;2006&quot;]]},&quot;page&quot;:&quot;104-112&quot;,&quot;title&quot;:&quot;In vitro release and in vivo absorption in beagle dogs of meloxicam from Eudragit® FS 30 D-coated pellets&quot;,&quot;type&quot;:&quot;article-journal&quot;,&quot;volume&quot;:&quot;322&quot;,&quot;container-title-short&quot;:&quot;&quot;},&quot;uris&quot;:[&quot;http://www.mendeley.com/documents/?uuid=59508476-b7d9-44f9-a378-0c9b38c2ee49&quot;],&quot;isTemporary&quot;:false,&quot;legacyDesktopId&quot;:&quot;59508476-b7d9-44f9-a378-0c9b38c2ee49&quot;},{&quot;id&quot;:&quot;1da89977-ecf2-5015-bc2d-3c6aac442623&quot;,&quot;itemData&quot;:{&quot;DOI&quot;:&quot;10.3109/10837450.2010.546409&quot;,&quot;ISSN&quot;:&quot;10837450&quot;,&quot;PMID&quot;:&quot;21222512&quot;,&quot;abstract&quot;:&quot;Polymer film based on pH-dependent Eudragit® FS 30 D acrylic polymer in association with arabinoxylane, a polysaccharide issued from gum psyllium, was produced by way of solvent casting. Physical-chemical characterization of the polymer film samples was performed by means of thermogravimetry (TGA), differential scanning calorimetry (DSC), and scanning electron microscopy (SEM). Furthermore, water-equilibrium swelling index (Is) and weight loss of the films in KCl buffer solution of pH 1.2, in KH 2PO 4 buffer solution of pH 5.0, or in KH 2PO 4 buffer solution of pH 5.0 consisting of 4% enzyme Pectinex® 3X-L (w/v) were also carried out for the film characterization. No chemical interactions between the Eudragit® FS 30 D and the arabinoxylane polymer chains were evidenced, thus suggesting that the film-forming polymer structure was obtained from a physical mixture of both polymers. The arabinoxylane-loader films showed a more pronounced weight loss after their immersion in buffer solution containing enzyme Pectinex® 3X-L. The introduction of the arabinoxylane makes the film more susceptible to undergo an enzymatic degradation. This meant that the enzyme-dependent propriety issued from the arabinoxylane has been imprinted into the film formulation. This type of polymer film is an interesting system for applications in colon-specific drug delivery system. © 2012 Informa Healthcare USA, Inc.&quot;,&quot;author&quot;:[{&quot;dropping-particle&quot;:&quot;&quot;,&quot;family&quot;:&quot;Rabito&quot;,&quot;given&quot;:&quot;Mirela Fulgencio&quot;,&quot;non-dropping-particle&quot;:&quot;&quot;,&quot;parse-names&quot;:false,&quot;suffix&quot;:&quot;&quot;},{&quot;dropping-particle&quot;:&quot;&quot;,&quot;family&quot;:&quot;Reis&quot;,&quot;given&quot;:&quot;Adriano Valim&quot;,&quot;non-dropping-particle&quot;:&quot;&quot;,&quot;parse-names&quot;:false,&quot;suffix&quot;:&quot;&quot;},{&quot;dropping-particle&quot;:&quot;Dos&quot;,&quot;family&quot;:&quot;Reis Freitas&quot;,&quot;given&quot;:&quot;Adonilson&quot;,&quot;non-dropping-particle&quot;:&quot;&quot;,&quot;parse-names&quot;:false,&quot;suffix&quot;:&quot;&quot;},{&quot;dropping-particle&quot;:&quot;&quot;,&quot;family&quot;:&quot;Tambourgi&quot;,&quot;given&quot;:&quot;Elias Basile&quot;,&quot;non-dropping-particle&quot;:&quot;&quot;,&quot;parse-names&quot;:false,&quot;suffix&quot;:&quot;&quot;},{&quot;dropping-particle&quot;:&quot;&quot;,&quot;family&quot;:&quot;Cavalcanti&quot;,&quot;given&quot;:&quot;Osvaldo Albuquerque&quot;,&quot;non-dropping-particle&quot;:&quot;&quot;,&quot;parse-names&quot;:false,&quot;suffix&quot;:&quot;&quot;}],&quot;container-title&quot;:&quot;Pharmaceutical Development and Technology&quot;,&quot;id&quot;:&quot;1da89977-ecf2-5015-bc2d-3c6aac442623&quot;,&quot;issue&quot;:&quot;4&quot;,&quot;issued&quot;:{&quot;date-parts&quot;:[[&quot;2012&quot;]]},&quot;page&quot;:&quot;429-436&quot;,&quot;title&quot;:&quot;A pH/enzyme-responsive polymer film consisting of Eudragit® FS 30 D and arabinoxylane as a potential material formulation for colon-specific drug delivery system&quot;,&quot;type&quot;:&quot;article-journal&quot;,&quot;volume&quot;:&quot;17&quot;,&quot;container-title-short&quot;:&quot;&quot;},&quot;uris&quot;:[&quot;http://www.mendeley.com/documents/?uuid=53067972-3075-43cc-b8fa-d991dfbc4a8d&quot;],&quot;isTemporary&quot;:false,&quot;legacyDesktopId&quot;:&quot;53067972-3075-43cc-b8fa-d991dfbc4a8d&quot;}]},{&quot;citationID&quot;:&quot;MENDELEY_CITATION_9078036d-d595-4983-ac5c-57b3f6f1e3a1&quot;,&quot;properties&quot;:{&quot;noteIndex&quot;:0},&quot;isEdited&quot;:false,&quot;manualOverride&quot;:{&quot;citeprocText&quot;:&quot;(Illiger et al., 2009)&quot;,&quot;isManuallyOverridden&quot;:false,&quot;manualOverrideText&quot;:&quot;&quot;},&quot;citationTag&quot;:&quot;MENDELEY_CITATION_v3_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&quot;,&quot;citationItems&quot;:[{&quot;id&quot;:&quot;fef66629-b808-54c0-a744-e76010669a7e&quot;,&quot;itemData&quot;:{&quot;DOI&quot;:&quot;10.1016/j.carbpol.2008.08.014&quot;,&quot;ISSN&quot;:&quot;01448617&quot;,&quot;abstract&quot;:&quot;Hydroxy propyl methyl cellulose (HPMC)/polyethylene glycol (PEG) blends are edible polymer films used for food packing and directly in foodstuffs. However, they are water-soluble in ordinary temperature and have good mechanical properties. The miscibility of HPMC/PEG blend in water was studied by viscosity, ultrasonic velocity, density and refractive index techniques at 30 and 50 °C. Using viscosity data, the interaction parameters μ and α were calculated. These values revealed that HPMC/PEG blend is miscible when the HPMC content is more than 60 wt.% in the blend at 30 and 50 °C, below which is immiscible. Further the result was also confirmed by ultrasonic velocity, density, refractive index measurements, which also revealed that the change in temperature has no significant effect on the miscibility of HPMC/PEG polymer blend. © 2008 Elsevier Ltd. All rights reserved.&quot;,&quot;author&quot;:[{&quot;dropping-particle&quot;:&quot;&quot;,&quot;family&quot;:&quot;Illiger&quot;,&quot;given&quot;:&quot;Sudhir Ramswamy&quot;,&quot;non-dropping-particle&quot;:&quot;&quot;,&quot;parse-names&quot;:false,&quot;suffix&quot;:&quot;&quot;},{&quot;dropping-particle&quot;:&quot;&quot;,&quot;family&quot;:&quot;Fadnis&quot;,&quot;given&quot;:&quot;Chandralekha&quot;,&quot;non-dropping-particle&quot;:&quot;&quot;,&quot;parse-names&quot;:false,&quot;suffix&quot;:&quot;&quot;},{&quot;dropping-particle&quot;:&quot;&quot;,&quot;family&quot;:&quot;Demappa&quot;,&quot;given&quot;:&quot;T.&quot;,&quot;non-dropping-particle&quot;:&quot;&quot;,&quot;parse-names&quot;:false,&quot;suffix&quot;:&quot;&quot;},{&quot;dropping-particle&quot;:&quot;&quot;,&quot;family&quot;:&quot;Jayaraju&quot;,&quot;given&quot;:&quot;J.&quot;,&quot;non-dropping-particle&quot;:&quot;&quot;,&quot;parse-names&quot;:false,&quot;suffix&quot;:&quot;&quot;},{&quot;dropping-particle&quot;:&quot;&quot;,&quot;family&quot;:&quot;Keshavayya&quot;,&quot;given&quot;:&quot;J.&quot;,&quot;non-dropping-particle&quot;:&quot;&quot;,&quot;parse-names&quot;:false,&quot;suffix&quot;:&quot;&quot;}],&quot;container-title&quot;:&quot;Carbohydrate Polymers&quot;,&quot;id&quot;:&quot;fef66629-b808-54c0-a744-e76010669a7e&quot;,&quot;issue&quot;:&quot;3&quot;,&quot;issued&quot;:{&quot;date-parts&quot;:[[&quot;2009&quot;]]},&quot;page&quot;:&quot;484-488&quot;,&quot;title&quot;:&quot;Miscibility studies of HPMC/PEG blends in water by viscosity, density, refractive index and ultrasonic velocity method&quot;,&quot;type&quot;:&quot;article-journal&quot;,&quot;volume&quot;:&quot;75&quot;,&quot;container-title-short&quot;:&quot;&quot;},&quot;uris&quot;:[&quot;http://www.mendeley.com/documents/?uuid=a1330414-bbae-4d73-90a6-7662c15d3b83&quot;],&quot;isTemporary&quot;:false,&quot;legacyDesktopId&quot;:&quot;a1330414-bbae-4d73-90a6-7662c15d3b83&quot;}]},{&quot;citationID&quot;:&quot;MENDELEY_CITATION_a4b10807-793c-4c36-83d6-c672173c716b&quot;,&quot;properties&quot;:{&quot;noteIndex&quot;:0},&quot;isEdited&quot;:false,&quot;manualOverride&quot;:{&quot;isManuallyOverridden&quot;:false,&quot;citeprocText&quot;:&quot;(Laquintana et al., 2019b)&quot;,&quot;manualOverrideText&quot;:&quot;&quot;},&quot;citationTag&quot;:&quot;MENDELEY_CITATION_v3_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&quot;,&quot;citationItems&quot;:[{&quot;id&quot;:&quot;21d3f624-1c11-3237-b159-f182423b725a&quot;,&quot;itemData&quot;:{&quot;type&quot;:&quot;article-journal&quot;,&quot;id&quot;:&quot;21d3f624-1c11-3237-b159-f182423b725a&quot;,&quot;title&quot;:&quot;Thiolated hydroxypropyl-β-cyclodextrin as mucoadhesive excipient for oral delivery of budesonide in liquid paediatric formulation&quot;,&quot;author&quot;:[{&quot;family&quot;:&quot;Laquintana&quot;,&quot;given&quot;:&quot;Valentino&quot;,&quot;parse-names&quot;:false,&quot;dropping-particle&quot;:&quot;&quot;,&quot;non-dropping-particle&quot;:&quot;&quot;},{&quot;family&quot;:&quot;Asim&quot;,&quot;given&quot;:&quot;Mulazim Hussain&quot;,&quot;parse-names&quot;:false,&quot;dropping-particle&quot;:&quot;&quot;,&quot;non-dropping-particle&quot;:&quot;&quot;},{&quot;family&quot;:&quot;Lopedota&quot;,&quot;given&quot;:&quot;Angela&quot;,&quot;parse-names&quot;:false,&quot;dropping-particle&quot;:&quot;&quot;,&quot;non-dropping-particle&quot;:&quot;&quot;},{&quot;family&quot;:&quot;Cutrignelli&quot;,&quot;given&quot;:&quot;Annalisa&quot;,&quot;parse-names&quot;:false,&quot;dropping-particle&quot;:&quot;&quot;,&quot;non-dropping-particle&quot;:&quot;&quot;},{&quot;family&quot;:&quot;Lopalco&quot;,&quot;given&quot;:&quot;Antonio&quot;,&quot;parse-names&quot;:false,&quot;dropping-particle&quot;:&quot;&quot;,&quot;non-dropping-particle&quot;:&quot;&quot;},{&quot;family&quot;:&quot;Franco&quot;,&quot;given&quot;:&quot;Massimo&quot;,&quot;parse-names&quot;:false,&quot;dropping-particle&quot;:&quot;&quot;,&quot;non-dropping-particle&quot;:&quot;&quot;},{&quot;family&quot;:&quot;Bernkop-Schnürch&quot;,&quot;given&quot;:&quot;Andreas&quot;,&quot;parse-names&quot;:false,&quot;dropping-particle&quot;:&quot;&quot;,&quot;non-dropping-particle&quot;:&quot;&quot;},{&quot;family&quot;:&quot;Denora&quot;,&quot;given&quot;:&quot;Nunzio&quot;,&quot;parse-names&quot;:false,&quot;dropping-particle&quot;:&quot;&quot;,&quot;non-dropping-particle&quot;:&quot;&quot;}],&quot;container-title&quot;:&quot;International Journal of Pharmaceutics&quot;,&quot;DOI&quot;:&quot;10.1016/j.ijpharm.2019.118820&quot;,&quot;ISSN&quot;:&quot;03785173&quot;,&quot;URL&quot;:&quot;https://linkinghub.elsevier.com/retrieve/pii/S0378517319308658&quot;,&quot;issued&quot;:{&quot;date-parts&quot;:[[2019,12]]},&quot;page&quot;:&quot;118820&quot;,&quot;volume&quot;:&quot;572&quot;,&quot;container-title-short&quot;:&quot;&quot;},&quot;isTemporary&quot;:false}]},{&quot;citationID&quot;:&quot;MENDELEY_CITATION_d21cfbfc-04b2-4267-912f-58f2f3c4ce94&quot;,&quot;properties&quot;:{&quot;noteIndex&quot;:0},&quot;isEdited&quot;:false,&quot;manualOverride&quot;:{&quot;citeprocText&quot;:&quot;(Pistone et al., 2022)&quot;,&quot;isManuallyOverridden&quot;:false,&quot;manualOverrideText&quot;:&quot;&quot;},&quot;citationTag&quot;:&quot;MENDELEY_CITATION_v3_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SaXp6aSIsImdpdmVuIjoiUm9zYW5uYS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75471f3a-a940-480e-8503-181f99806b0c&quot;,&quot;properties&quot;:{&quot;noteIndex&quot;:0},&quot;isEdited&quot;:false,&quot;manualOverride&quot;:{&quot;citeprocText&quot;:&quot;(Stato, n.d.)&quot;,&quot;isManuallyOverridden&quot;:false,&quot;manualOverrideText&quot;:&quot;&quot;},&quot;citationTag&quot;:&quot;MENDELEY_CITATION_v3_eyJjaXRhdGlvbklEIjoiTUVOREVMRVlfQ0lUQVRJT05fNzU0NzFmM2EtYTk0MC00ODBlLTg1MDMtMTgxZjk5ODA2YjBj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c199e962-cb44-4380-baa4-885ebf3649d5&quot;,&quot;properties&quot;:{&quot;noteIndex&quot;:0},&quot;isEdited&quot;:false,&quot;manualOverride&quot;:{&quot;citeprocText&quot;:&quot;(Stato, n.d.)&quot;,&quot;isManuallyOverridden&quot;:false,&quot;manualOverrideText&quot;:&quot;&quot;},&quot;citationTag&quot;:&quot;MENDELEY_CITATION_v3_eyJjaXRhdGlvbklEIjoiTUVOREVMRVlfQ0lUQVRJT05fYzE5OWU5NjItY2I0NC00MzgwLWJhYTQtODg1ZWJmMzY0OWQ1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25e3d5a1-2d2f-4beb-9810-1e4b9f865160&quot;,&quot;properties&quot;:{&quot;noteIndex&quot;:0},&quot;isEdited&quot;:false,&quot;manualOverride&quot;:{&quot;citeprocText&quot;:&quot;(Stato, n.d.)&quot;,&quot;isManuallyOverridden&quot;:false,&quot;manualOverrideText&quot;:&quot;&quot;},&quot;citationTag&quot;:&quot;MENDELEY_CITATION_v3_eyJjaXRhdGlvbklEIjoiTUVOREVMRVlfQ0lUQVRJT05fMjVlM2Q1YTEtMmQyZi00YmViLTk4MTAtMWU0YjlmODY1MTYw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9aeaf543-3c33-42d1-8c9e-b4daca7a8510&quot;,&quot;properties&quot;:{&quot;noteIndex&quot;:0},&quot;isEdited&quot;:false,&quot;manualOverride&quot;:{&quot;citeprocText&quot;:&quot;(Mirdamadian et al., 2022; Thakral et al., 2011)&quot;,&quot;isManuallyOverridden&quot;:false,&quot;manualOverrideText&quot;:&quot;&quot;},&quot;citationTag&quot;:&quot;MENDELEY_CITATION_v3_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&quot;,&quot;citationItems&quot;:[{&quot;id&quot;:&quot;4d31ccf9-eced-56b2-8a04-18cc7a2c2f19&quot;,&quot;itemData&quot;:{&quot;DOI&quot;:&quot;10.1016/j.ijbiomac.2022.02.080&quot;,&quot;ISSN&quot;:&quot;18790003&quot;,&quot;PMID&quot;:&quot;35182561&quot;,&quot;abstract&quot;:&quot;This study aimed to develop a colon-targeted tablet of oxaliplatin (OP) using the combination of nanotechnology and fused deposition modeling (FDM) 3D printing to improve its antitumor activity, tumor targetability, and safety profile. Eudragit L100-55 filament containing OP loaded alginate nanoparticles (OP-NPs) were fabricated using hot-melt extrusion method and printed by an FDM printer to 3D printed tablets with good uniformity in the drug content and selective release of OP in the colonic environment. The antitumor effect of 3D printed tablets containing OP-NPs in CT-26 tumor-bearing mice was evaluated compared to intravenous and oral administration of OP solution, and compressed tablets containing OP-NPs, which were prepared by direct compression method with the same formulation. The antitumor effect of 3D printed tablets containing OP-NPs was remarkable and comparable with intravenous OP solution (p ˃ 0.05) with a better safety profile, whereas compressed tablets did not show any significant antitumor effect, probably in terms of non-selective drug release in stomach and upper intestine environments. This study highlights the potential of the combination of nanotechnology and 3D printing in the preparation of colon-specific drug delivery systems of chemotherapeutic drugs with good antitumor activity, tumor targetability, and safety profile for colorectal cancer treatment.&quot;,&quot;author&quot;:[{&quot;dropping-particle&quot;:&quot;&quot;,&quot;family&quot;:&quot;Mirdamadian&quot;,&quot;given&quot;:&quot;Seyedeh Zahra&quot;,&quot;non-dropping-particle&quot;:&quot;&quot;,&quot;parse-names&quot;:false,&quot;suffix&quot;:&quot;&quot;},{&quot;dropping-particle&quot;:&quot;&quot;,&quot;family&quot;:&quot;Varshosaz&quot;,&quot;given&quot;:&quot;Jaleh&quot;,&quot;non-dropping-particle&quot;:&quot;&quot;,&quot;parse-names&quot;:false,&quot;suffix&quot;:&quot;&quot;},{&quot;dropping-particle&quot;:&quot;&quot;,&quot;family&quot;:&quot;Minaiyan&quot;,&quot;given&quot;:&quot;Mohsen&quot;,&quot;non-dropping-particle&quot;:&quot;&quot;,&quot;parse-names&quot;:false,&quot;suffix&quot;:&quot;&quot;},{&quot;dropping-particle&quot;:&quot;&quot;,&quot;family&quot;:&quot;Taheri&quot;,&quot;given&quot;:&quot;Azade&quot;,&quot;non-dropping-particle&quot;:&quot;&quot;,&quot;parse-names&quot;:false,&quot;suffix&quot;:&quot;&quot;}],&quot;container-title&quot;:&quot;International Journal of Biological Macromolecules&quot;,&quot;id&quot;:&quot;4d31ccf9-eced-56b2-8a04-18cc7a2c2f19&quot;,&quot;issue&quot;:&quot;January&quot;,&quot;issued&quot;:{&quot;date-parts&quot;:[[&quot;2022&quot;]]},&quot;page&quot;:&quot;90-109&quot;,&quot;publisher&quot;:&quot;Elsevier B.V.&quot;,&quot;title&quot;:&quot;3D printed tablets containing oxaliplatin loaded alginate nanoparticles for colon cancer targeted delivery. An in vitro/in vivo study&quot;,&quot;type&quot;:&quot;article-journal&quot;,&quot;volume&quot;:&quot;205&quot;,&quot;container-title-short&quot;:&quot;&quot;},&quot;uris&quot;:[&quot;http://www.mendeley.com/documents/?uuid=fa1c5004-e453-4ec0-a94e-8da01562c92e&quot;],&quot;isTemporary&quot;:false,&quot;legacyDesktopId&quot;:&quot;fa1c5004-e453-4ec0-a94e-8da01562c92e&quot;},{&quot;id&quot;:&quot;bdcda809-af88-5a7e-8901-4ab572652578&quot;,&quot;itemData&quot;:{&quot;DOI&quot;:&quot;10.2147/IJN.S19561&quot;,&quot;ISSN&quot;:&quot;1178-2013&quot;,&quot;author&quot;:[{&quot;dropping-particle&quot;:&quot;&quot;,&quot;family&quot;:&quot;Thakral&quot;,&quot;given&quot;:&quot;Naveen&quot;,&quot;non-dropping-particle&quot;:&quot;&quot;,&quot;parse-names&quot;:false,&quot;suffix&quot;:&quot;&quot;},{&quot;dropping-particle&quot;:&quot;&quot;,&quot;family&quot;:&quot;Ray&quot;,&quot;given&quot;:&quot;Alok R&quot;,&quot;non-dropping-particle&quot;:&quot;&quot;,&quot;parse-names&quot;:false,&quot;suffix&quot;:&quot;&quot;},{&quot;dropping-particle&quot;:&quot;&quot;,&quot;family&quot;:&quot;Shalom&quot;,&quot;given&quot;:&quot;Daniel Bar&quot;,&quot;non-dropping-particle&quot;:&quot;&quot;,&quot;parse-names&quot;:false,&quot;suffix&quot;:&quot;&quot;},{&quot;dropping-particle&quot;:&quot;&quot;,&quot;family&quot;:&quot;Eriksson&quot;,&quot;given&quot;:&quot;André Huss&quot;,&quot;non-dropping-particle&quot;:&quot;&quot;,&quot;parse-names&quot;:false,&quot;suffix&quot;:&quot;&quot;},{&quot;dropping-particle&quot;:&quot;&quot;,&quot;family&quot;:&quot;Majumdar&quot;,&quot;given&quot;:&quot;Dipak&quot;,&quot;non-dropping-particle&quot;:&quot;&quot;,&quot;parse-names&quot;:false,&quot;suffix&quot;:&quot;&quot;}],&quot;container-title&quot;:&quot;International Journal of Nanomedicine&quot;,&quot;id&quot;:&quot;bdcda809-af88-5a7e-8901-4ab572652578&quot;,&quot;issued&quot;:{&quot;date-parts&quot;:[[&quot;2011&quot;,&quot;5&quot;]]},&quot;page&quot;:&quot;1057&quot;,&quot;title&quot;:&quot;The quest for targeted delivery in colon cancer: mucoadhesive valdecoxib microspheres&quot;,&quot;type&quot;:&quot;article-journal&quot;,&quot;container-title-short&quot;:&quot;&quot;},&quot;uris&quot;:[&quot;http://www.mendeley.com/documents/?uuid=2f5ae3b2-7f8e-4a5f-97b9-f4b8f7456dfe&quot;],&quot;isTemporary&quot;:false,&quot;legacyDesktopId&quot;:&quot;2f5ae3b2-7f8e-4a5f-97b9-f4b8f7456dfe&quot;}]},{&quot;citationID&quot;:&quot;MENDELEY_CITATION_fc3ae6ce-929c-415d-b872-164dfa2f4bfb&quot;,&quot;properties&quot;:{&quot;noteIndex&quot;:0},&quot;isEdited&quot;:false,&quot;manualOverride&quot;:{&quot;citeprocText&quot;:&quot;(Stato, n.d.)&quot;,&quot;isManuallyOverridden&quot;:false,&quot;manualOverrideText&quot;:&quot;&quot;},&quot;citationTag&quot;:&quot;MENDELEY_CITATION_v3_eyJjaXRhdGlvbklEIjoiTUVOREVMRVlfQ0lUQVRJT05fZmMzYWU2Y2UtOTI5Yy00MTVkLWI4NzItMTY0ZGZhMmY0YmZi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94e49f78-081c-4361-a25e-cd4cbd44f5a4&quot;,&quot;properties&quot;:{&quot;noteIndex&quot;:0},&quot;isEdited&quot;:false,&quot;manualOverride&quot;:{&quot;citeprocText&quot;:&quot;(Stato, n.d.)&quot;,&quot;isManuallyOverridden&quot;:false,&quot;manualOverrideText&quot;:&quot;&quot;},&quot;citationTag&quot;:&quot;MENDELEY_CITATION_v3_eyJjaXRhdGlvbklEIjoiTUVOREVMRVlfQ0lUQVRJT05fOTRlNDlmNzgtMDgxYy00MzYxLWEyNWUtY2Q0Y2JkNDRmNWE0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ab351d21-8997-4129-b466-a9e62a1b5773&quot;,&quot;properties&quot;:{&quot;noteIndex&quot;:0},&quot;isEdited&quot;:false,&quot;manualOverride&quot;:{&quot;citeprocText&quot;:&quot;(Dufour et al., 2015; Kinnarinen et al., 2003; Laquintana et al., 2019a; Santos Akkari et al., 2016)&quot;,&quot;isManuallyOverridden&quot;:false,&quot;manualOverrideText&quot;:&quot;&quot;},&quot;citationTag&quot;:&quot;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&quot;,&quot;citationItems&quot;:[{&quot;id&quot;:&quot;203dfd6c-e673-572a-b94b-c04faecf8cea&quot;,&quot;itemData&quot;:{&quot;DOI&quot;:&quot;10.1016/S0168-3659(03)00176-7&quot;,&quot;ISSN&quot;:&quot;01683659&quot;,&quot;PMID&quot;:&quot;12810302&quot;,&quot;abstract&quot;:&quot;Cyclodextrins (CDs) may be potential excipients in inhalation powders; e.g., to increase drug stability, dissolution rate and bioavailability, or to decrease local irritation of an inhaled drug. The aim of this study was to investigate the effect of CD complexation on the pulmonary deposition of drugs. Studies were performed by using novel Taifun® multi-dose dry powder inhalers and budesonide as a model compound. A precipitation method was developed to prepare solid budesonide/γ-CD complexes. Inhalation powders containing either budesonide/γ-CD complexes (15 μg/dose; complex:carrier ratio 1:15) or budesonide (10 μg/dose and 100 μg/dose; drug:carrier ratio 1:159 and 1:15, respectively) with a lactose carrier, were prepared by dry mixing. The in vitro pulmonary depositions of budesonide and budesonide/γ-CD complexes were determined initially and after 1 month's storage (40°C, 75% RH) using an Andersen cascade impactor. The respirable fraction (RF) of the budesonide/γ-CD complex was 35% initially and 31% after storage. The RF of budesonide was 35% (10 μg/dose) and 45% (100 μg/dose) initially, and 31% (10 μg/dose) and 51% (100 μg/dose) after storage, respectively. In conclusion, CDs may be used in inhalation powders to improve pharmaceutical and biopharmaceutical properties of drugs without lowering their pulmonary deposition. © 2003 Elsevier Science B.V. All rights reserved.&quot;,&quot;author&quot;:[{&quot;dropping-particle&quot;:&quot;&quot;,&quot;family&quot;:&quot;Kinnarinen&quot;,&quot;given&quot;:&quot;Tarja&quot;,&quot;non-dropping-particle&quot;:&quot;&quot;,&quot;parse-names&quot;:false,&quot;suffix&quot;:&quot;&quot;},{&quot;dropping-particle&quot;:&quot;&quot;,&quot;family&quot;:&quot;Jarho&quot;,&quot;given&quot;:&quot;Pekka&quot;,&quot;non-dropping-particle&quot;:&quot;&quot;,&quot;parse-names&quot;:false,&quot;suffix&quot;:&quot;&quot;},{&quot;dropping-particle&quot;:&quot;&quot;,&quot;family&quot;:&quot;Järvinen&quot;,&quot;given&quot;:&quot;Kristiina&quot;,&quot;non-dropping-particle&quot;:&quot;&quot;,&quot;parse-names&quot;:false,&quot;suffix&quot;:&quot;&quot;},{&quot;dropping-particle&quot;:&quot;&quot;,&quot;family&quot;:&quot;Järvinen&quot;,&quot;given&quot;:&quot;Tomi&quot;,&quot;non-dropping-particle&quot;:&quot;&quot;,&quot;parse-names&quot;:false,&quot;suffix&quot;:&quot;&quot;}],&quot;container-title&quot;:&quot;Journal of Controlled Release&quot;,&quot;id&quot;:&quot;203dfd6c-e673-572a-b94b-c04faecf8cea&quot;,&quot;issue&quot;:&quot;2&quot;,&quot;issued&quot;:{&quot;date-parts&quot;:[[&quot;2003&quot;]]},&quot;page&quot;:&quot;197-205&quot;,&quot;title&quot;:&quot;Pulmonary deposition of a budesonide/γ-cyclodextrin complex in vitro&quot;,&quot;type&quot;:&quot;article-journal&quot;,&quot;volume&quot;:&quot;90&quot;,&quot;container-title-short&quot;:&quot;&quot;},&quot;uris&quot;:[&quot;http://www.mendeley.com/documents/?uuid=bb2cf3b8-108c-4a7c-bca3-1e2840cef62a&quot;],&quot;isTemporary&quot;:false,&quot;legacyDesktopId&quot;:&quot;bb2cf3b8-108c-4a7c-bca3-1e2840cef62a&quot;},{&quot;id&quot;:&quot;5b05310c-beeb-5f91-ab9b-ac19dea7c179&quot;,&quot;itemData&quot;:{&quot;DOI&quot;:&quot;10.1016/j.ijpharm.2015.09.052&quot;,&quot;ISSN&quot;:&quot;18733476&quot;,&quot;PMID&quot;:&quot;26410753&quot;,&quot;abstract&quot;:&quot;To achieve an efficient lung delivery and efficacy, both active ingredient aerosolisation properties and permeability through the lung need to be optimized. To overcome these challenges, the present studies aim to develop cyclodextrin-based spray-dried microparticles containing a therapeutic corticosteroid (budesonide) that could be used to control airway inflammation associated with asthma. The complexation between budesonide and hydroxypropyl-β-cyclodextrin (HPBCD) has been investigated. Production of inhalation powders was carried out using a bi-fluid nozzle spray dryer and was optimized based on a design of experiments. Spray-dried microparticles display a specific \&quot;deflated-ball like shape\&quot; associated with an appropriate size for inhalation. Aerodynamic assessment show that the fine particle fraction was increased compared to a classical lactose-based budesonide formulation (44.05 vs 26.24%). Moreover, the budesonide permeability out of the lung was shown to be reduced in the presence of cyclodextrin complexes. The interest of this sustained budesonide release was evaluated in a mouse model of asthma. The anti-inflammatory effect was compared to a non-complexed budesonide formulation at the same concentration and attests the higher anti-inflammatory activity reach with the cyclodextrin-based formulation. This strategy could therefore be of particular interest for improving lung targeting while decreasing systemic side effects associated with high doses of corticosteroids. In conclusion, this works reports that cyclodextrins could be used in powder for inhalation, both for their abilities to improve active ingredient aerosolisation properties and further to their dissolution in lung fluid, to decrease permeability out of the lungs leading to an optimized activity profile.&quot;,&quot;author&quot;:[{&quot;dropping-particle&quot;:&quot;&quot;,&quot;family&quot;:&quot;Dufour&quot;,&quot;given&quot;:&quot;Gilles&quot;,&quot;non-dropping-particle&quot;:&quot;&quot;,&quot;parse-names&quot;:false,&quot;suffix&quot;:&quot;&quot;},{&quot;dropping-particle&quot;:&quot;&quot;,&quot;family&quot;:&quot;Bigazzi&quot;,&quot;given&quot;:&quot;William&quot;,&quot;non-dropping-particle&quot;:&quot;&quot;,&quot;parse-names&quot;:false,&quot;suffix&quot;:&quot;&quot;},{&quot;dropping-particle&quot;:&quot;&quot;,&quot;family&quot;:&quot;Wong&quot;,&quot;given&quot;:&quot;Nelson&quot;,&quot;non-dropping-particle&quot;:&quot;&quot;,&quot;parse-names&quot;:false,&quot;suffix&quot;:&quot;&quot;},{&quot;dropping-particle&quot;:&quot;&quot;,&quot;family&quot;:&quot;Boschini&quot;,&quot;given&quot;:&quot;Frederic&quot;,&quot;non-dropping-particle&quot;:&quot;&quot;,&quot;parse-names&quot;:false,&quot;suffix&quot;:&quot;&quot;},{&quot;dropping-particle&quot;:&quot;&quot;,&quot;family&quot;:&quot;Tullio&quot;,&quot;given&quot;:&quot;Pascal&quot;,&quot;non-dropping-particle&quot;:&quot;De&quot;,&quot;parse-names&quot;:false,&quot;suffix&quot;:&quot;&quot;},{&quot;dropping-particle&quot;:&quot;&quot;,&quot;family&quot;:&quot;Piel&quot;,&quot;given&quot;:&quot;Geraldine&quot;,&quot;non-dropping-particle&quot;:&quot;&quot;,&quot;parse-names&quot;:false,&quot;suffix&quot;:&quot;&quot;},{&quot;dropping-particle&quot;:&quot;&quot;,&quot;family&quot;:&quot;Cataldo&quot;,&quot;given&quot;:&quot;Didier&quot;,&quot;non-dropping-particle&quot;:&quot;&quot;,&quot;parse-names&quot;:false,&quot;suffix&quot;:&quot;&quot;},{&quot;dropping-particle&quot;:&quot;&quot;,&quot;family&quot;:&quot;Evrard&quot;,&quot;given&quot;:&quot;Brigitte&quot;,&quot;non-dropping-particle&quot;:&quot;&quot;,&quot;parse-names&quot;:false,&quot;suffix&quot;:&quot;&quot;}],&quot;container-title&quot;:&quot;International Journal of Pharmaceutics&quot;,&quot;id&quot;:&quot;5b05310c-beeb-5f91-ab9b-ac19dea7c179&quot;,&quot;issue&quot;:&quot;2&quot;,&quot;issued&quot;:{&quot;date-parts&quot;:[[&quot;2015&quot;]]},&quot;page&quot;:&quot;869-878&quot;,&quot;publisher&quot;:&quot;Elsevier B.V.&quot;,&quot;title&quot;:&quot;Interest of cyclodextrins in spray-dried microparticles formulation for sustained pulmonary delivery of budesonide&quot;,&quot;type&quot;:&quot;article-journal&quot;,&quot;volume&quot;:&quot;495&quot;,&quot;container-title-short&quot;:&quot;&quot;},&quot;uris&quot;:[&quot;http://www.mendeley.com/documents/?uuid=09df94ae-92bf-4c09-9f91-43ca09b43cb4&quot;],&quot;isTemporary&quot;:false,&quot;legacyDesktopId&quot;:&quot;09df94ae-92bf-4c09-9f91-43ca09b43cb4&quot;},{&quot;id&quot;:&quot;19ccbe81-35d1-58d5-998d-d68db94d6f03&quot;,&quot;itemData&quot;:{&quot;DOI&quot;:&quot;10.1016/j.colsurfb.2015.11.048&quot;,&quot;ISSN&quot;:&quot;18734367&quot;,&quot;PMID&quot;:&quot;26674842&quot;,&quot;abstract&quot;:&quot;Budesonide (BUD) is a glucocorticoid widely used for the treatment of ulcerative colitis. In this work, we propose the study of the system BUD-HP-β-CD inclusion complex incorporated into PL 407 and PL407-PL403 thermoreversible hydrogels, considering physico-chemical and pharmaceutical aspects. Complexation between BUD and HP-β-CD was confirmed by phase solubility studies (1:1 stoichiometry, Kc = 8662.8M-1), DSC, FTIR and microscopy analyzes. BUD solubility in simulated upper and lower colon fluids was improved in a dependence of HP-β-CD and PL 407 or PL407-PL403 association. Micellar hydrodynamic diameter studies showed the interaction between HP-β-CD and PL blocks, as well as the reorganization of the micellar system in the presence of BUD and its inclusion complex. Micellization temperature (Tm) was not shifted, but sol-gel phase transition studies showed that in the presence of BUD, HP-β-CD or BUD:HP-β-CD complex, the association PL407-PL403 favored the gel formation close to the physiological temperature. Physico-chemical and in vitro release assays studies revealed no competitive displacement of BUD from the HP-β-CD cavity evoked by PL407 or PL407-PL403 addition. These findings point out the BUD-HP-β-CD in PL-based hydrogels as strategies for future investigations on development of new pharmaceutical formulations for the treatment of ulcerative colitis.&quot;,&quot;author&quot;:[{&quot;dropping-particle&quot;:&quot;&quot;,&quot;family&quot;:&quot;Santos Akkari&quot;,&quot;given&quot;:&quot;Alessandra Cristina&quot;,&quot;non-dropping-particle&quot;:&quot;&quot;,&quot;parse-names&quot;:false,&quot;suffix&quot;:&quot;&quot;},{&quot;dropping-particle&quot;:&quot;&quot;,&quot;family&quot;:&quot;Ramos Campos&quot;,&quot;given&quot;:&quot;Estefânia Vangelie&quot;,&quot;non-dropping-particle&quot;:&quot;&quot;,&quot;parse-names&quot;:false,&quot;suffix&quot;:&quot;&quot;},{&quot;dropping-particle&quot;:&quot;&quot;,&quot;family&quot;:&quot;Keppler&quot;,&quot;given&quot;:&quot;Artur Franz&quot;,&quot;non-dropping-particle&quot;:&quot;&quot;,&quot;parse-names&quot;:false,&quot;suffix&quot;:&quot;&quot;},{&quot;dropping-particle&quot;:&quot;&quot;,&quot;family&quot;:&quot;Fraceto&quot;,&quot;given&quot;:&quot;Leonardo Fernandes&quot;,&quot;non-dropping-particle&quot;:&quot;&quot;,&quot;parse-names&quot;:false,&quot;suffix&quot;:&quot;&quot;},{&quot;dropping-particle&quot;:&quot;&quot;,&quot;family&quot;:&quot;Paula&quot;,&quot;given&quot;:&quot;Eneida&quot;,&quot;non-dropping-particle&quot;:&quot;de&quot;,&quot;parse-names&quot;:false,&quot;suffix&quot;:&quot;&quot;},{&quot;dropping-particle&quot;:&quot;&quot;,&quot;family&quot;:&quot;Tófoli&quot;,&quot;given&quot;:&quot;Giovana Radomille&quot;,&quot;non-dropping-particle&quot;:&quot;&quot;,&quot;parse-names&quot;:false,&quot;suffix&quot;:&quot;&quot;},{&quot;dropping-particle&quot;:&quot;&quot;,&quot;family&quot;:&quot;Araujo&quot;,&quot;given&quot;:&quot;Daniele Ribeiro&quot;,&quot;non-dropping-particle&quot;:&quot;de&quot;,&quot;parse-names&quot;:false,&quot;suffix&quot;:&quot;&quot;}],&quot;container-title&quot;:&quot;Colloids and Surfaces B: Biointerfaces&quot;,&quot;id&quot;:&quot;19ccbe81-35d1-58d5-998d-d68db94d6f03&quot;,&quot;issued&quot;:{&quot;date-parts&quot;:[[&quot;2016&quot;]]},&quot;page&quot;:&quot;138-147&quot;,&quot;publisher&quot;:&quot;Elsevier B.V.&quot;,&quot;title&quot;:&quot;Budesonide-hydroxypropyl-β-cyclodextrin inclusion complex in binary poloxamer 407/403 system for ulcerative colitis treatment: A physico-chemical study from micelles to hydrogels&quot;,&quot;type&quot;:&quot;article-journal&quot;,&quot;volume&quot;:&quot;138&quot;,&quot;container-title-short&quot;:&quot;&quot;},&quot;uris&quot;:[&quot;http://www.mendeley.com/documents/?uuid=68b2e9c8-ce10-4597-aece-042acb7fbbaf&quot;],&quot;isTemporary&quot;:false,&quot;legacyDesktopId&quot;:&quot;68b2e9c8-ce10-4597-aece-042acb7fbbaf&quot;},{&quot;id&quot;:&quot;aae06825-c1d7-5bf5-b151-4e4cfebf510f&quot;,&quot;itemData&quot;:{&quot;DOI&quot;:&quot;10.1016/j.ijpharm.2019.118820&quot;,&quot;ISSN&quot;:&quot;18733476&quot;,&quot;PMID&quot;:&quot;31706864&quot;,&quot;abstract&quot;:&quot;Budesonide (BUD) is a low water soluble (S0 = 5.028·10−5 M) corticosteroid used as preferred therapy for the treatment of Eosinophilic Esophagitis (EoE), a chronic allergic-immune condition with an increased incidence in the paediatric population. Currently there are no commercial medicines indicated for EoE, and, therefore, in the hospital pharmacy the BUD is extemporaneously formulated as viscous oral suspension at the initial dose of 1–2 mg per day for children, highlighting the need of a mucoadhesive drug delivery system (MDDS) that adheres to the site of action and prolongs the therapeutic activity of the administered drug. Considering the ability of hydroxypropyl-β-cyclodextrin (HP-β-CD, 100 mM) to increase the water solubility of BUD (SHP-β-CD = 4.3·10−3 M; K1:1 = 861.11 M−1), a mucoadhesive thiolated HP-β-CD (HP-β-CD-SH) was synthesized and characterized by mass spectroscopy, 1H- and 13C NMR techniques. Phase-solubility studies demonstrated the capability of HP-β-CD-SH (100 mM) to form a reversible water soluble inclusion complex with BUD (SHP-β-CD-SH = 10.9·10−3 M; K1:1 = 2013.52 M−1), which increases its permanence on the target site as proved by mucoadhesive studies on porcine oesophagus mucosa. HP-β-CD-SH might be a useful MDDS for the pharmacist to prepare BUD oral liquid formulations at the recommended doses, with pH values below 5, which guarantee the chemical stability of the new mucoadhesive excipient.&quot;,&quot;author&quot;:[{&quot;dropping-particle&quot;:&quot;&quot;,&quot;family&quot;:&quot;Laquintana&quot;,&quot;given&quot;:&quot;Valentino&quot;,&quot;non-dropping-particle&quot;:&quot;&quot;,&quot;parse-names&quot;:false,&quot;suffix&quot;:&quot;&quot;},{&quot;dropping-particle&quot;:&quot;&quot;,&quot;family&quot;:&quot;Asim&quot;,&quot;given&quot;:&quot;Mulazim Hussain&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Bernkop-Schnürch&quot;,&quot;given&quot;:&quot;Andreas&quot;,&quot;non-dropping-particle&quot;:&quot;&quot;,&quot;parse-names&quot;:false,&quot;suffix&quot;:&quot;&quot;},{&quot;dropping-particle&quot;:&quot;&quot;,&quot;family&quot;:&quot;Denora&quot;,&quot;given&quot;:&quot;Nunzio&quot;,&quot;non-dropping-particle&quot;:&quot;&quot;,&quot;parse-names&quot;:false,&quot;suffix&quot;:&quot;&quot;}],&quot;container-title&quot;:&quot;International Journal of Pharmaceutics&quot;,&quot;id&quot;:&quot;aae06825-c1d7-5bf5-b151-4e4cfebf510f&quot;,&quot;issue&quot;:&quot;November&quot;,&quot;issued&quot;:{&quot;date-parts&quot;:[[&quot;2019&quot;]]},&quot;page&quot;:&quot;118820&quot;,&quot;publisher&quot;:&quot;Elsevier&quot;,&quot;title&quot;:&quot;Thiolated hydroxypropyl-β-cyclodextrin as mucoadhesive excipient for oral delivery of budesonide in liquid paediatric formulation&quot;,&quot;type&quot;:&quot;article-journal&quot;,&quot;volume&quot;:&quot;572&quot;,&quot;container-title-short&quot;:&quot;&quot;},&quot;uris&quot;:[&quot;http://www.mendeley.com/documents/?uuid=e2c4de31-a1b5-432f-9ebf-f8ad7d811a6d&quot;],&quot;isTemporary&quot;:false,&quot;legacyDesktopId&quot;:&quot;e2c4de31-a1b5-432f-9ebf-f8ad7d811a6d&quot;}]},{&quot;citationID&quot;:&quot;MENDELEY_CITATION_b8a3ff1d-8a27-4307-be78-6fae8e50854f&quot;,&quot;properties&quot;:{&quot;noteIndex&quot;:0},&quot;isEdited&quot;:false,&quot;manualOverride&quot;:{&quot;citeprocText&quot;:&quot;(Laquintana et al., 2019a)&quot;,&quot;isManuallyOverridden&quot;:false,&quot;manualOverrideText&quot;:&quot;&quot;},&quot;citationTag&quot;:&quot;MENDELEY_CITATION_v3_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&quot;,&quot;citationItems&quot;:[{&quot;id&quot;:&quot;aae06825-c1d7-5bf5-b151-4e4cfebf510f&quot;,&quot;itemData&quot;:{&quot;DOI&quot;:&quot;10.1016/j.ijpharm.2019.118820&quot;,&quot;ISSN&quot;:&quot;18733476&quot;,&quot;PMID&quot;:&quot;31706864&quot;,&quot;abstract&quot;:&quot;Budesonide (BUD) is a low water soluble (S0 = 5.028·10−5 M) corticosteroid used as preferred therapy for the treatment of Eosinophilic Esophagitis (EoE), a chronic allergic-immune condition with an increased incidence in the paediatric population. Currently there are no commercial medicines indicated for EoE, and, therefore, in the hospital pharmacy the BUD is extemporaneously formulated as viscous oral suspension at the initial dose of 1–2 mg per day for children, highlighting the need of a mucoadhesive drug delivery system (MDDS) that adheres to the site of action and prolongs the therapeutic activity of the administered drug. Considering the ability of hydroxypropyl-β-cyclodextrin (HP-β-CD, 100 mM) to increase the water solubility of BUD (SHP-β-CD = 4.3·10−3 M; K1:1 = 861.11 M−1), a mucoadhesive thiolated HP-β-CD (HP-β-CD-SH) was synthesized and characterized by mass spectroscopy, 1H- and 13C NMR techniques. Phase-solubility studies demonstrated the capability of HP-β-CD-SH (100 mM) to form a reversible water soluble inclusion complex with BUD (SHP-β-CD-SH = 10.9·10−3 M; K1:1 = 2013.52 M−1), which increases its permanence on the target site as proved by mucoadhesive studies on porcine oesophagus mucosa. HP-β-CD-SH might be a useful MDDS for the pharmacist to prepare BUD oral liquid formulations at the recommended doses, with pH values below 5, which guarantee the chemical stability of the new mucoadhesive excipient.&quot;,&quot;author&quot;:[{&quot;dropping-particle&quot;:&quot;&quot;,&quot;family&quot;:&quot;Laquintana&quot;,&quot;given&quot;:&quot;Valentino&quot;,&quot;non-dropping-particle&quot;:&quot;&quot;,&quot;parse-names&quot;:false,&quot;suffix&quot;:&quot;&quot;},{&quot;dropping-particle&quot;:&quot;&quot;,&quot;family&quot;:&quot;Asim&quot;,&quot;given&quot;:&quot;Mulazim Hussain&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Bernkop-Schnürch&quot;,&quot;given&quot;:&quot;Andreas&quot;,&quot;non-dropping-particle&quot;:&quot;&quot;,&quot;parse-names&quot;:false,&quot;suffix&quot;:&quot;&quot;},{&quot;dropping-particle&quot;:&quot;&quot;,&quot;family&quot;:&quot;Denora&quot;,&quot;given&quot;:&quot;Nunzio&quot;,&quot;non-dropping-particle&quot;:&quot;&quot;,&quot;parse-names&quot;:false,&quot;suffix&quot;:&quot;&quot;}],&quot;container-title&quot;:&quot;International Journal of Pharmaceutics&quot;,&quot;id&quot;:&quot;aae06825-c1d7-5bf5-b151-4e4cfebf510f&quot;,&quot;issue&quot;:&quot;November&quot;,&quot;issued&quot;:{&quot;date-parts&quot;:[[&quot;2019&quot;]]},&quot;page&quot;:&quot;118820&quot;,&quot;publisher&quot;:&quot;Elsevier&quot;,&quot;title&quot;:&quot;Thiolated hydroxypropyl-β-cyclodextrin as mucoadhesive excipient for oral delivery of budesonide in liquid paediatric formulation&quot;,&quot;type&quot;:&quot;article-journal&quot;,&quot;volume&quot;:&quot;572&quot;,&quot;container-title-short&quot;:&quot;&quot;},&quot;uris&quot;:[&quot;http://www.mendeley.com/documents/?uuid=e2c4de31-a1b5-432f-9ebf-f8ad7d811a6d&quot;],&quot;isTemporary&quot;:false,&quot;legacyDesktopId&quot;:&quot;e2c4de31-a1b5-432f-9ebf-f8ad7d811a6d&quot;}]},{&quot;citationID&quot;:&quot;MENDELEY_CITATION_be907bff-edba-47ee-b53e-926c2a25046a&quot;,&quot;properties&quot;:{&quot;noteIndex&quot;:0},&quot;isEdited&quot;:false,&quot;manualOverride&quot;:{&quot;citeprocText&quot;:&quot;(Ozdemir et al., 2018)&quot;,&quot;isManuallyOverridden&quot;:false,&quot;manualOverrideText&quot;:&quot;&quot;},&quot;citationTag&quot;:&quot;MENDELEY_CITATION_v3_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&quot;,&quot;citationItems&quot;:[{&quot;id&quot;:&quot;13817e47-f479-5e73-8bd0-e895b4769686&quot;,&quot;itemData&quot;:{&quot;DOI&quot;:&quot;10.1016/j.lwt.2018.01.046&quot;,&quot;ISSN&quot;:&quot;00236438&quot;,&quot;abstract&quot;:&quot;Black pepper oleoresin (BPO) is a valuable pepper product since it includes both flavor and pungency; however, these compounds are sensible to environmental conditions. β-cyclodextrins (BCD) can be used to encapsulate BPO and potentially enhance its applicability. BCD inclusion complexes can be produced by several methods; however, to date there are no studies, which directly compares how different microencapsulation methods affect BPO inclusion complexes functional properties. This study aimed to synthesize BPO-BCD inclusion complexes using freeze drying (FD) and kneading (KN) methods and compare their physico-chemical, antioxidant and antimicrobial properties. BPO encapsulation in BCD by both methods were confirmed by thermal and phase solubility results. Particle sizes ranged from 393 to 607 nm and entrapment efficiencies from 90.2 to 79.3% for KN and FD methods, respectively. Encapsulation method did not influence (p &lt;.05) either the total phenolic content or the antioxidant activity. KN-BPO-inclusion complexes were more effective in inhibiting Listeria monocytogenes growth than FD-BPO-inclusion complexes, while neither inclusion complexes were able to inhibit Escherichia coli O157:H7 at tested concentrations. Therefore, KN encapsulation method using BCD can be useful to maintain BPO active properties for longer time, being applicable to delay oxidative reactions and inhibit Gram-positive microorganism growth in food products.&quot;,&quot;author&quot;:[{&quot;dropping-particle&quot;:&quot;&quot;,&quot;family&quot;:&quot;Ozdemir&quot;,&quot;given&quot;:&quot;Necla&quot;,&quot;non-dropping-particle&quot;:&quot;&quot;,&quot;parse-names&quot;:false,&quot;suffix&quot;:&quot;&quot;},{&quot;dropping-particle&quot;:&quot;&quot;,&quot;family&quot;:&quot;Pola&quot;,&quot;given&quot;:&quot;Cícero C.&quot;,&quot;non-dropping-particle&quot;:&quot;&quot;,&quot;parse-names&quot;:false,&quot;suffix&quot;:&quot;&quot;},{&quot;dropping-particle&quot;:&quot;&quot;,&quot;family&quot;:&quot;Teixeira&quot;,&quot;given&quot;:&quot;Bruna N.&quot;,&quot;non-dropping-particle&quot;:&quot;&quot;,&quot;parse-names&quot;:false,&quot;suffix&quot;:&quot;&quot;},{&quot;dropping-particle&quot;:&quot;&quot;,&quot;family&quot;:&quot;Hill&quot;,&quot;given&quot;:&quot;Laura E.&quot;,&quot;non-dropping-particle&quot;:&quot;&quot;,&quot;parse-names&quot;:false,&quot;suffix&quot;:&quot;&quot;},{&quot;dropping-particle&quot;:&quot;&quot;,&quot;family&quot;:&quot;Bayrak&quot;,&quot;given&quot;:&quot;Ali&quot;,&quot;non-dropping-particle&quot;:&quot;&quot;,&quot;parse-names&quot;:false,&quot;suffix&quot;:&quot;&quot;},{&quot;dropping-particle&quot;:&quot;&quot;,&quot;family&quot;:&quot;Gomes&quot;,&quot;given&quot;:&quot;Carmen L.&quot;,&quot;non-dropping-particle&quot;:&quot;&quot;,&quot;parse-names&quot;:false,&quot;suffix&quot;:&quot;&quot;}],&quot;container-title&quot;:&quot;LWT - Food Science and Technology&quot;,&quot;id&quot;:&quot;13817e47-f479-5e73-8bd0-e895b4769686&quot;,&quot;issued&quot;:{&quot;date-parts&quot;:[[&quot;2018&quot;]]},&quot;page&quot;:&quot;439-445&quot;,&quot;title&quot;:&quot;Preparation of black pepper oleoresin inclusion complexes based on beta-cyclodextrin for antioxidant and antimicrobial delivery applications using kneading and freeze drying methods: A comparative study&quot;,&quot;type&quot;:&quot;article-journal&quot;,&quot;volume&quot;:&quot;91&quot;,&quot;container-title-short&quot;:&quot;&quot;},&quot;uris&quot;:[&quot;http://www.mendeley.com/documents/?uuid=c023cca6-a40f-4628-8594-5ef735f18bda&quot;],&quot;isTemporary&quot;:false,&quot;legacyDesktopId&quot;:&quot;c023cca6-a40f-4628-8594-5ef735f18bda&quot;}]},{&quot;citationID&quot;:&quot;MENDELEY_CITATION_0b4aca1b-5dbf-4688-bd84-cca721785b59&quot;,&quot;properties&quot;:{&quot;noteIndex&quot;:0},&quot;isEdited&quot;:false,&quot;manualOverride&quot;:{&quot;citeprocText&quot;:&quot;(Santos et al., 2015)&quot;,&quot;isManuallyOverridden&quot;:false,&quot;manualOverrideText&quot;:&quot;&quot;},&quot;citationTag&quot;:&quot;MENDELEY_CITATION_v3_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&quot;,&quot;citationItems&quot;:[{&quot;id&quot;:&quot;979d97f8-5c1a-5b9e-b6fc-557a99254242&quot;,&quot;itemData&quot;:{&quot;DOI&quot;:&quot;10.1016/j.lwt.2014.08.046&quot;,&quot;ISSN&quot;:&quot;00236438&quot;,&quot;abstract&quot;:&quot;Carvacrol is a good natural antimicrobial and antioxidant agent; however, its poor aqueous solubility and high volatility limit its application in food systems. Beta-cyclodextrin (ΒCD) is able to encapsulate hydrophobic molecules improving its aqueous solubility and reducing its volatility. ΒCD-carvacrol inclusion complexes were prepared using kneading (KN) and freeze drying (FD) methods. Sizes of ΒCD-carvacrol complexes were 441±12nm and 899±44nm and entrapment efficiencies were 83.79±2.89% and 91.31±0.41% for KN and FD BCD-carvacrol complexes, respectively. Polydispersity index was higher (P&lt;0.05) than 0.1 for both methods, indicating a polydisperse system. Differential thermograms and phase solubility study indicated formation of 1:1 stoichiometry inclusion complex. Trolox Equivalent Antioxidant Capacity (TEAC) values ranged from 7491 to 6421μmolTE/g among treatments, where KN ΒCD-carvacrol complex showed the lowest (P&lt;0.05) antioxidant activity. Storage stability of ΒCD-carvacrol complexes proved beneficial to carvacrol encapsulation. Antimicrobial activity against Escherichia coli K12 and Salmonella enterica serovar Typhimurium LT2 showed that all BCD-carvacrol complexes inhibited bacterial growth at lower (P&lt;0.05) carvacrol concentrations (values ranged from 300 to 350μg/mL) compared to free carvacrol (≥1000μg/mL). Results indicate that these ΒCD-carvacrol complexes could have important applications in food systems due to their storage stability and improved antimicrobial activity.&quot;,&quot;author&quot;:[{&quot;dropping-particle&quot;:&quot;&quot;,&quot;family&quot;:&quot;Santos&quot;,&quot;given&quot;:&quot;Emerson H.&quot;,&quot;non-dropping-particle&quot;:&quot;&quot;,&quot;parse-names&quot;:false,&quot;suffix&quot;:&quot;&quot;},{&quot;dropping-particle&quot;:&quot;&quot;,&quot;family&quot;:&quot;Kamimura&quot;,&quot;given&quot;:&quot;Juliane A.&quot;,&quot;non-dropping-particle&quot;:&quot;&quot;,&quot;parse-names&quot;:false,&quot;suffix&quot;:&quot;&quot;},{&quot;dropping-particle&quot;:&quot;&quot;,&quot;family&quot;:&quot;Hill&quot;,&quot;given&quot;:&quot;Laura E.&quot;,&quot;non-dropping-particle&quot;:&quot;&quot;,&quot;parse-names&quot;:false,&quot;suffix&quot;:&quot;&quot;},{&quot;dropping-particle&quot;:&quot;&quot;,&quot;family&quot;:&quot;Gomes&quot;,&quot;given&quot;:&quot;Carmen L.&quot;,&quot;non-dropping-particle&quot;:&quot;&quot;,&quot;parse-names&quot;:false,&quot;suffix&quot;:&quot;&quot;}],&quot;container-title&quot;:&quot;LWT - Food Science and Technology&quot;,&quot;id&quot;:&quot;979d97f8-5c1a-5b9e-b6fc-557a99254242&quot;,&quot;issue&quot;:&quot;1&quot;,&quot;issued&quot;:{&quot;date-parts&quot;:[[&quot;2015&quot;]]},&quot;page&quot;:&quot;583-592&quot;,&quot;title&quot;:&quot;Characterization of carvacrol beta-cyclodextrin inclusion complexes as delivery systems for antibacterial and antioxidant applications&quot;,&quot;type&quot;:&quot;article-journal&quot;,&quot;volume&quot;:&quot;60&quot;,&quot;container-title-short&quot;:&quot;&quot;},&quot;uris&quot;:[&quot;http://www.mendeley.com/documents/?uuid=cfe35108-cc72-4fcd-a10a-2f0d82f20d4d&quot;],&quot;isTemporary&quot;:false,&quot;legacyDesktopId&quot;:&quot;cfe35108-cc72-4fcd-a10a-2f0d82f20d4d&quot;}]},{&quot;citationID&quot;:&quot;MENDELEY_CITATION_43d07c27-d8f2-4e54-89ee-f00e06f03c4e&quot;,&quot;properties&quot;:{&quot;noteIndex&quot;:0},&quot;isEdited&quot;:false,&quot;manualOverride&quot;:{&quot;citeprocText&quot;:&quot;(El Aita et al., 2020b; Sánchez-Guirales et al., 2021; Suárez-González et al., 2021)&quot;,&quot;isManuallyOverridden&quot;:false,&quot;manualOverrideText&quot;:&quot;&quot;},&quot;citationTag&quot;:&quot;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&quot;,&quot;citationItems&quot;:[{&quot;id&quot;:&quot;34ef21a1-a04c-5ec2-9c1b-1bafb119e1e5&quot;,&quot;itemData&quot;:{&quot;DOI&quot;:&quot;10.3390/pharmaceutics13101583&quot;,&quot;ISSN&quot;:&quot;19994923&quot;,&quot;abstract&quot;:&quot;Fuse deposition modelling (FDM) has emerged as a novel technology for manufacturing 3D printed medicines. However, it is a two-step process requiring the fabrication of filaments using a hot melt extruder with suitable properties prior to printing taking place, which can be a rate-lim-iting step in its application into clinical practice. Direct powder extrusion can overcome the difficul-ties encountered with fabrication of pharmaceutical-quality filaments for FDM, allowing the man-ufacturing, in a single step, of 3D printed solid dosage forms. In this study, we demonstrate the manufacturing of small-weight (&lt;100 mg) solid dosage forms with high drug loading (25%) that can be easily undertaken by healthcare professionals to treat hypertension. 3D printed nifedipine minitablets containing 20 mg were manufactured by direct powder extrusion combining 15% polyethylene glycol 4000 Da, 40% hydroxypropyl cellulose, 19% hydroxy propyl methyl cellulose acetate succinate, and 1% magnesium stearate. The fabricated 3D printed minitablets of small overall weight did not disintegrate during dissolution and allowed for controlled drug release over 24 h, based on erosion. This release profile of the printed minitablets is more suitable for hypertensive patients than immediate-release tablets that can lead to a marked burst effect, triggering hypoten-sion. The small size of the minitablet allows it to fit inside of a 0-size capsule and be combined with other minitablets, of other API, for the treatment of complex diseases requiring polypharmacy within a single dosage form.&quot;,&quot;author&quot;:[{&quot;dropping-particle&quot;:&quot;&quot;,&quot;family&quot;:&quot;Sánchez-Guirales&quot;,&quot;given&quot;:&quot;Sergio A.&quot;,&quot;non-dropping-particle&quot;:&quot;&quot;,&quot;parse-names&quot;:false,&quot;suffix&quot;:&quot;&quot;},{&quot;dropping-particle&quot;:&quot;&quot;,&quot;family&quot;:&quot;Jurado&quot;,&quot;given&quot;:&quot;Noelia&quot;,&quot;non-dropping-particle&quot;:&quot;&quot;,&quot;parse-names&quot;:false,&quot;suffix&quot;:&quot;&quot;},{&quot;dropping-particle&quot;:&quot;&quot;,&quot;family&quot;:&quot;Kara&quot;,&quot;given&quot;:&quot;Aytug&quot;,&quot;non-dropping-particle&quot;:&quot;&quot;,&quot;parse-names&quot;:false,&quot;suffix&quot;:&quot;&quot;},{&quot;dropping-particle&quot;:&quot;&quot;,&quot;family&quot;:&quot;Lalatsa&quot;,&quot;given&quot;:&quot;Aikaterini&quot;,&quot;non-dropping-particle&quot;:&quot;&quot;,&quot;parse-names&quot;:false,&quot;suffix&quot;:&quot;&quot;},{&quot;dropping-particle&quot;:&quot;&quot;,&quot;family&quot;:&quot;Serrano&quot;,&quot;given&quot;:&quot;Dolores R.&quot;,&quot;non-dropping-particle&quot;:&quot;&quot;,&quot;parse-names&quot;:false,&quot;suffix&quot;:&quot;&quot;}],&quot;container-title&quot;:&quot;Pharmaceutics&quot;,&quot;id&quot;:&quot;34ef21a1-a04c-5ec2-9c1b-1bafb119e1e5&quot;,&quot;issue&quot;:&quot;10&quot;,&quot;issued&quot;:{&quot;date-parts&quot;:[[&quot;2021&quot;]]},&quot;title&quot;:&quot;Understanding direct powder extrusion for fabrication of 3d printed personalised medicines: A case study for nifedipine minitablets&quot;,&quot;type&quot;:&quot;article-journal&quot;,&quot;volume&quot;:&quot;13&quot;,&quot;container-title-short&quot;:&quot;Pharmaceutics&quot;},&quot;uris&quot;:[&quot;http://www.mendeley.com/documents/?uuid=bba937fa-6e8d-40f7-90bb-a925871c0949&quot;],&quot;isTemporary&quot;:false,&quot;legacyDesktopId&quot;:&quot;bba937fa-6e8d-40f7-90bb-a925871c0949&quot;},{&quot;id&quot;:&quot;c036adad-8439-5f40-943c-12304a27b346&quot;,&quot;itemData&quot;:{&quot;DOI&quot;:&quot;10.1016/j.jddst.2021.102884&quot;,&quot;ISSN&quot;:&quot;17732247&quot;,&quot;abstract&quot;:&quot;Orodispersible tablets are an excellent alternative regarding drug administration in pediatric patients. Nowadays there are alternatives to the compression process including; molding techniques and semi-solid extrusion 3D printing technology. Both constitute excellent options when producing individualized oral solid dosage forms for pediatrics. The objective of this study was to compare the suitability of the molding and semi-solid extrusion 3D printing technologies for orodispersible tablets and printlets. In order to evaluate performance, orodispersible dosage forms containing 10 mg of hydrochlorothiazide were developed. The quality of the dosage forms was tested in accordance with the requirements of the European Pharmacopoeia for oral solid dosage forms: mass uniformity, content uniformity, disintegration time and dissolution. Due to the peculiarities of these dosage forms, the dissolution test was performed using the flow through cell apparatus (type IV according to USP classification). 100 orodisperable dosage forms were made using both systems. The elaboration time of molded tablets and printlets was 15 min and 1 h respectively. Both dosage forms complied with mass uniformity test but only printlets showed an acceptance value below limit. Disintegration time of printlets and molded tablets were 167 and 47 s respectively; the drug release was faster in the case of molded tablets. 3D printing by semi-solid extrusion constitutes a valid future alternative for the individualization of medicines as it enables the production of orodispersible printlets with the required quality attributes. Moreover, size, shape, dosage and organoleptic properties of the printlets can be changed, increasing the possibilities of dose individualization for pediatric patients.&quot;,&quot;author&quot;:[{&quot;dropping-particle&quot;:&quot;&quot;,&quot;family&quot;:&quot;Suárez-González&quot;,&quot;given&quot;:&quot;Javier&quot;,&quot;non-dropping-particle&quot;:&quot;&quot;,&quot;parse-names&quot;:false,&quot;suffix&quot;:&quot;&quot;},{&quot;dropping-particle&quot;:&quot;&quot;,&quot;family&quot;:&quot;Magariños-Triviño&quot;,&quot;given&quot;:&quot;María&quot;,&quot;non-dropping-particle&quot;:&quot;&quot;,&quot;parse-names&quot;:false,&quot;suffix&quot;:&quot;&quot;},{&quot;dropping-particle&quot;:&quot;&quot;,&quot;family&quot;:&quot;Díaz-Torres&quot;,&quot;given&quot;:&quot;Eduardo&quot;,&quot;non-dropping-particle&quot;:&quot;&quot;,&quot;parse-names&quot;:false,&quot;suffix&quot;:&quot;&quot;},{&quot;dropping-particle&quot;:&quot;&quot;,&quot;family&quot;:&quot;Cáceres-Pérez&quot;,&quot;given&quot;:&quot;Amor R.&quot;,&quot;non-dropping-particle&quot;:&quot;&quot;,&quot;parse-names&quot;:false,&quot;suffix&quot;:&quot;&quot;},{&quot;dropping-particle&quot;:&quot;&quot;,&quot;family&quot;:&quot;Santoveña-Estévez&quot;,&quot;given&quot;:&quot;Ana&quot;,&quot;non-dropping-particle&quot;:&quot;&quot;,&quot;parse-names&quot;:false,&quot;suffix&quot;:&quot;&quot;},{&quot;dropping-particle&quot;:&quot;&quot;,&quot;family&quot;:&quot;Fariña&quot;,&quot;given&quot;:&quot;José B.&quot;,&quot;non-dropping-particle&quot;:&quot;&quot;,&quot;parse-names&quot;:false,&quot;suffix&quot;:&quot;&quot;}],&quot;container-title&quot;:&quot;Journal of Drug Delivery Science and Technology&quot;,&quot;id&quot;:&quot;c036adad-8439-5f40-943c-12304a27b346&quot;,&quot;issue&quot;:&quot;June&quot;,&quot;issued&quot;:{&quot;date-parts&quot;:[[&quot;2021&quot;]]},&quot;title&quot;:&quot;Individualized orodispersible pediatric dosage forms obtained by molding and semi-solid extrusion by 3D printing: A comparative study for hydrochlorothiazide&quot;,&quot;type&quot;:&quot;article-journal&quot;,&quot;volume&quot;:&quot;66&quot;,&quot;container-title-short&quot;:&quot;&quot;},&quot;uris&quot;:[&quot;http://www.mendeley.com/documents/?uuid=fbd6061b-8356-4955-8ef2-5cc284b964df&quot;],&quot;isTemporary&quot;:false,&quot;legacyDesktopId&quot;:&quot;fbd6061b-8356-4955-8ef2-5cc284b964df&quot;},{&quot;id&quot;:&quot;a1b83cfd-be24-5b50-a636-b98c32ec5114&quot;,&quot;itemData&quot;:{&quot;DOI&quot;:&quot;10.1016/j.ejpb.2020.09.012&quot;,&quot;ISSN&quot;:&quot;18733441&quot;,&quot;PMID&quot;:&quot;33022389&quot;,&quot;abstract&quot;:&quot;The establishment of 3D-printing as manufacturing process for oral solid dosage forms enables new options for the individualized medicine. The aim of this work was to develop a novel drug-printing model using pressure-assisted microsyringe (PAM) technology, which allows the precise dispensing of drug substances. Printed tablets with different numbers of layers, mimicking different doses for pediatric subgroups, were analyzed regarding mass variation, friability, thickness and disintegration time. Furthermore, the uniformity of dosage units and the dissolution behavior were investigated. Friability was &lt;0.3% in all cases, which demonstrates the ability of PAM printing to manufacture robust solid dosage. Disintegration results showed the dependency of the disintegration on the number of layers and therefore on the compact mass of polymer. However, all tablets disintegrated within 3 min and fulfilled the requirements of immediate release tablets of the USP and orodispersible tablets according to the Ph. Eur. Results of uniformity dosage units confirmed the successful manufacturing of the intended individualized doses. Drug dissolution appeared to be dependent on the number of layers. An increase of layers resulted in a decrease of the drug release rate. Further, the drug release could be correlated to the surface area/volume (SA/V) ratio.&quot;,&quot;author&quot;:[{&quot;dropping-particle&quot;:&quot;&quot;,&quot;family&quot;:&quot;Aita&quot;,&quot;given&quot;:&quot;Ilias&quot;,&quot;non-dropping-particle&quot;:&quot;El&quot;,&quot;parse-names&quot;:false,&quot;suffix&quot;:&quot;&quot;},{&quot;dropping-particle&quot;:&quot;&quot;,&quot;family&quot;:&quot;Rahman&quot;,&quot;given&quot;:&quot;Jhinuk&quot;,&quot;non-dropping-particle&quot;:&quot;&quot;,&quot;parse-names&quot;:false,&quot;suffix&quot;:&quot;&quot;},{&quot;dropping-particle&quot;:&quot;&quot;,&quot;family&quot;:&quot;Breitkreutz&quot;,&quot;given&quot;:&quot;Jörg&quot;,&quot;non-dropping-particle&quot;:&quot;&quot;,&quot;parse-names&quot;:false,&quot;suffix&quot;:&quot;&quot;},{&quot;dropping-particle&quot;:&quot;&quot;,&quot;family&quot;:&quot;Quodbach&quot;,&quot;given&quot;:&quot;Julian&quot;,&quot;non-dropping-particle&quot;:&quot;&quot;,&quot;parse-names&quot;:false,&quot;suffix&quot;:&quot;&quot;}],&quot;container-title&quot;:&quot;European Journal of Pharmaceutics and Biopharmaceutics&quot;,&quot;id&quot;:&quot;a1b83cfd-be24-5b50-a636-b98c32ec5114&quot;,&quot;issued&quot;:{&quot;date-parts&quot;:[[&quot;2020&quot;]]},&quot;page&quot;:&quot;59-65&quot;,&quot;title&quot;:&quot;3D-Printing with precise layer-wise dose adjustments for paediatric use via pressure-assisted microsyringe printing&quot;,&quot;type&quot;:&quot;article-journal&quot;,&quot;volume&quot;:&quot;157&quot;,&quot;container-title-short&quot;:&quot;&quot;},&quot;uris&quot;:[&quot;http://www.mendeley.com/documents/?uuid=c1daba6c-3e4e-4d1f-992e-6594c9037631&quot;],&quot;isTemporary&quot;:false,&quot;legacyDesktopId&quot;:&quot;c1daba6c-3e4e-4d1f-992e-6594c9037631&quot;}]},{&quot;citationID&quot;:&quot;MENDELEY_CITATION_d1c82e04-a1e1-4f36-a2ad-58cb7ea40b90&quot;,&quot;properties&quot;:{&quot;noteIndex&quot;:0},&quot;isEdited&quot;:false,&quot;manualOverride&quot;:{&quot;citeprocText&quot;:&quot;(Sun et al., 2020)&quot;,&quot;isManuallyOverridden&quot;:false,&quot;manualOverrideText&quot;:&quot;&quot;},&quot;citationTag&quot;:&quot;MENDELEY_CITATION_v3_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&quot;,&quot;citationItems&quot;:[{&quot;id&quot;:&quot;b4cd554b-cce5-560d-bf5f-1a78e8cf53a9&quot;,&quot;itemData&quot;:{&quot;DOI&quot;:&quot;10.1002/fsn3.1330&quot;,&quot;ISSN&quot;:&quot;20487177&quot;,&quot;abstract&quot;:&quot;Tableting of fruit powders is gaining popularity because of the advantages it brings in, such as ease of storage, transportation, and use, and effervescent tablets could be a good alternative to accomplish fast dissolving. The present study provides a specific effervescent tablet formulation that is appropriate for the delivery of mango, cactus, and Chlorella fruit powder. The direct compression method was employed. A series of disintegration time, tensile strength, and moisture content tests were performed on the different formulations at each stage. The effects of effervescent agents' ratio, fruit powder proportion, acid and alkali content, and mannitol and lactose content on tablet properties were investigated. The results indicated that the tablet properties were highly influenced by formulation, especially the ratios of effervescent agents, fruit powders, acid to alkali ratio, as well as mannitol to lactose ratio. The best performing formulation was as follows, 45% effervescent agents (citric acid monohydrate:sodium bicarbonate = 1.3:1), 35% adhesives (mannitol:lactose = 1:8), and 20% mixed fruit powders (mango:cactus:Chlorella fruit powders = 14:5:1). With this formula, the moisture content was 3.62% and the disintegration time was 154 s, as well as a sufficient tensile strength of 2.32 MPa. Our study presented useful findings regarding the specific effects of changing ingredient ratios on tablet strength and other properties and provided a basis for the potential of using mango, cactus and microalgae powders as novel functional ingredients for fruit powder effervescent tablets. This may be used as a basis for further research on tableting.&quot;,&quot;author&quot;:[{&quot;dropping-particle&quot;:&quot;&quot;,&quot;family&quot;:&quot;Sun&quot;,&quot;given&quot;:&quot;Hanying&quot;,&quot;non-dropping-particle&quot;:&quot;&quot;,&quot;parse-names&quot;:false,&quot;suffix&quot;:&quot;&quot;},{&quot;dropping-particle&quot;:&quot;&quot;,&quot;family&quot;:&quot;Wang&quot;,&quot;given&quot;:&quot;Xin&quot;,&quot;non-dropping-particle&quot;:&quot;&quot;,&quot;parse-names&quot;:false,&quot;suffix&quot;:&quot;&quot;},{&quot;dropping-particle&quot;:&quot;&quot;,&quot;family&quot;:&quot;Wang&quot;,&quot;given&quot;:&quot;Jiangyu&quot;,&quot;non-dropping-particle&quot;:&quot;&quot;,&quot;parse-names&quot;:false,&quot;suffix&quot;:&quot;&quot;},{&quot;dropping-particle&quot;:&quot;&quot;,&quot;family&quot;:&quot;Shi&quot;,&quot;given&quot;:&quot;Gengqiang&quot;,&quot;non-dropping-particle&quot;:&quot;&quot;,&quot;parse-names&quot;:false,&quot;suffix&quot;:&quot;&quot;},{&quot;dropping-particle&quot;:&quot;&quot;,&quot;family&quot;:&quot;Chen&quot;,&quot;given&quot;:&quot;Lan&quot;,&quot;non-dropping-particle&quot;:&quot;&quot;,&quot;parse-names&quot;:false,&quot;suffix&quot;:&quot;&quot;}],&quot;container-title&quot;:&quot;Food Science and Nutrition&quot;,&quot;id&quot;:&quot;b4cd554b-cce5-560d-bf5f-1a78e8cf53a9&quot;,&quot;issue&quot;:&quot;1&quot;,&quot;issued&quot;:{&quot;date-parts&quot;:[[&quot;2020&quot;]]},&quot;page&quot;:&quot;479-488&quot;,&quot;title&quot;:&quot;Influence of the formula on the properties of a fast dispersible fruit tablet made from mango, Chlorella, and cactus powder&quot;,&quot;type&quot;:&quot;article-journal&quot;,&quot;volume&quot;:&quot;8&quot;,&quot;container-title-short&quot;:&quot;&quot;},&quot;uris&quot;:[&quot;http://www.mendeley.com/documents/?uuid=f0b5ca0b-a816-47b6-959a-395e5f6ee867&quot;],&quot;isTemporary&quot;:false,&quot;legacyDesktopId&quot;:&quot;f0b5ca0b-a816-47b6-959a-395e5f6ee867&quot;}]},{&quot;citationID&quot;:&quot;MENDELEY_CITATION_2eb885f1-8d93-48c9-badf-8a363147c922&quot;,&quot;properties&quot;:{&quot;noteIndex&quot;:0},&quot;isEdited&quot;:false,&quot;manualOverride&quot;:{&quot;citeprocText&quot;:&quot;(Lima et al., 2020)&quot;,&quot;isManuallyOverridden&quot;:false,&quot;manualOverrideText&quot;:&quot;&quot;},&quot;citationTag&quot;:&quot;MENDELEY_CITATION_v3_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&quot;,&quot;citationItems&quot;:[{&quot;id&quot;:&quot;fd25c34a-540c-5d75-837e-ca36154d5cb2&quot;,&quot;itemData&quot;:{&quot;DOI&quot;:&quot;10.3390/pharmaceutics12080779&quot;,&quot;ISSN&quot;:&quot;19994923&quot;,&quot;abstract&quot;:&quot;Here, we assessed the feasibility of hot-melt extrusion (HME) to obtain effervescent drug products for the first time. For this, a combined mixture design was employed using paracetamol as a model drug. Extrudates were obtained under reduced torque (up to 0.3 Nm) at 100◦ C to preserve the stability of the effervescent salts. Formulations showed vigorous and rapid effervescent disintegration (&lt;3 min), adequate flow characteristics, and complete solubilization of paracetamol instantly after the effervescent reaction. Formulations containing PVPVA in the concentration range of 15–20% m/m were demonstrated to be sensitive to accelerated aging conditions, undergoing marked microstructural changes, since the capture of water led to the agglomeration and loss of their functional characteristics. HPMC matrices, in contrast, proved to be resistant to storage conditions in high relative humidity, showing superior performance to controls, including the commercial product. Moreover, the combined mixture design allowed us to identify significant interactions between the polymeric materials and the disintegrating agents, showing the formulation regions in which the responses are kept within the required levels. In conclusion, this study demonstrates that HME can bring important benefits to the elaboration of effervescent drug products, simplifying the production process and obtaining formulations with improved characteristics, such as faster disintegration, higher drug solubilization, and better stability.&quot;,&quot;author&quot;:[{&quot;dropping-particle&quot;:&quot;&quot;,&quot;family&quot;:&quot;Lima&quot;,&quot;given&quot;:&quot;Ana Luiza&quot;,&quot;non-dropping-particle&quot;:&quot;&quot;,&quot;parse-names&quot;:false,&quot;suffix&quot;:&quot;&quot;},{&quot;dropping-particle&quot;:&quot;&quot;,&quot;family&quot;:&quot;Pinho&quot;,&quot;given&quot;:&quot;Ludmila A.G.&quot;,&quot;non-dropping-particle&quot;:&quot;&quot;,&quot;parse-names&quot;:false,&quot;suffix&quot;:&quot;&quot;},{&quot;dropping-particle&quot;:&quot;&quot;,&quot;family&quot;:&quot;Chaker&quot;,&quot;given&quot;:&quot;Juliano A.&quot;,&quot;non-dropping-particle&quot;:&quot;&quot;,&quot;parse-names&quot;:false,&quot;suffix&quot;:&quot;&quot;},{&quot;dropping-particle&quot;:&quot;&quot;,&quot;family&quot;:&quot;Sa-Barreto&quot;,&quot;given&quot;:&quot;Livia L.&quot;,&quot;non-dropping-particle&quot;:&quot;&quot;,&quot;parse-names&quot;:false,&quot;suffix&quot;:&quot;&quot;},{&quot;dropping-particle&quot;:&quot;&quot;,&quot;family&quot;:&quot;Marreto&quot;,&quot;given&quot;:&quot;Ricardo Neves&quot;,&quot;non-dropping-particle&quot;:&quot;&quot;,&quot;parse-names&quot;:false,&quot;suffix&quot;:&quot;&quot;},{&quot;dropping-particle&quot;:&quot;&quot;,&quot;family&quot;:&quot;Gratieri&quot;,&quot;given&quot;:&quot;Tais&quot;,&quot;non-dropping-particle&quot;:&quot;&quot;,&quot;parse-names&quot;:false,&quot;suffix&quot;:&quot;&quot;},{&quot;dropping-particle&quot;:&quot;&quot;,&quot;family&quot;:&quot;Gelfuso&quot;,&quot;given&quot;:&quot;Guilherme M.&quot;,&quot;non-dropping-particle&quot;:&quot;&quot;,&quot;parse-names&quot;:false,&quot;suffix&quot;:&quot;&quot;},{&quot;dropping-particle&quot;:&quot;&quot;,&quot;family&quot;:&quot;Cunha-Filho&quot;,&quot;given&quot;:&quot;Marcilio&quot;,&quot;non-dropping-particle&quot;:&quot;&quot;,&quot;parse-names&quot;:false,&quot;suffix&quot;:&quot;&quot;}],&quot;container-title&quot;:&quot;Pharmaceutics&quot;,&quot;id&quot;:&quot;fd25c34a-540c-5d75-837e-ca36154d5cb2&quot;,&quot;issue&quot;:&quot;8&quot;,&quot;issued&quot;:{&quot;date-parts&quot;:[[&quot;2020&quot;]]},&quot;page&quot;:&quot;1-20&quot;,&quot;title&quot;:&quot;Hot-melt extrusion as an advantageous technology to obtain effervescent drug products&quot;,&quot;type&quot;:&quot;article-journal&quot;,&quot;volume&quot;:&quot;12&quot;,&quot;container-title-short&quot;:&quot;Pharmaceutics&quot;},&quot;uris&quot;:[&quot;http://www.mendeley.com/documents/?uuid=faef39c4-b974-4da7-a64b-08f71c53c6f2&quot;],&quot;isTemporary&quot;:false,&quot;legacyDesktopId&quot;:&quot;faef39c4-b974-4da7-a64b-08f71c53c6f2&quot;}]},{&quot;citationID&quot;:&quot;MENDELEY_CITATION_69ba5e7b-4bc9-4162-b348-00df7a56d835&quot;,&quot;properties&quot;:{&quot;noteIndex&quot;:0},&quot;isEdited&quot;:false,&quot;manualOverride&quot;:{&quot;citeprocText&quot;:&quot;(Pistone et al., 2022)&quot;,&quot;isManuallyOverridden&quot;:false,&quot;manualOverrideText&quot;:&quot;&quot;},&quot;citationTag&quot;:&quot;MENDELEY_CITATION_v3_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SaXp6aSIsImdpdmVuIjoiUm9zYW5uYS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0f919d2d-dded-4dfd-a468-99c603e33c47&quot;,&quot;properties&quot;:{&quot;noteIndex&quot;:0},&quot;isEdited&quot;:false,&quot;manualOverride&quot;:{&quot;citeprocText&quot;:&quot;(Takano et al., 2020)&quot;,&quot;isManuallyOverridden&quot;:false,&quot;manualOverrideText&quot;:&quot;&quot;},&quot;citationTag&quot;:&quot;MENDELEY_CITATION_v3_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&quot;,&quot;citationItems&quot;:[{&quot;id&quot;:&quot;38bf1da6-3659-5cb7-8f67-03f67ad0b00a&quot;,&quot;itemData&quot;:{&quot;DOI&quot;:&quot;10.1021/acs.molpharmaceut.9b01109&quot;,&quot;ISSN&quot;:&quot;15438392&quot;,&quot;PMID&quot;:&quot;31794228&quot;,&quot;abstract&quot;:&quot;Amorphous solid dispersions (ASD) are increasingly used to improve the oral bioavailability of poorly water-soluble compounds. However, hydrophilic polymers in ASD have high water-binding properties and, upon water contact, they often form a gel on the surface of the tablet, impacting the rate and extent of drug release. Most inorganic salts decrease water solubility of organic solutes, changing the gel properties of hydrophilic polymers. In this study, the effect of inorganic salts on drug release from a tablet formulation containing an itraconazole (ITZ)-hydroxypropyl methyl cellulose (HPMC) extrudate was investigated. The cloud point of a 1% HPMC solution with and without inorganic salts (KCl, KH2PO4, KHCO3, and potassium iodate (KI)) was determined to classify the salts according to their salting-out or salting-in effect. A kosmotropic effect on HPMC was observed for KCl, KH2PO4, and KHCO3, whereas KI exhibited a chaotropic effect. To prove the effect of these salts on drug release, tablets containing 66% of ITZ-HPMC extrudate (20:80 w/w %), 4% croscarmellose sodium, 30% microcrystalline cellulose, and different types and amounts of KHCO3, KH2PO4, KCl, and KI were compressed (same solid fraction of 0.83-0.85). Tablets without salts showed a slow release and low peak concentrations during dissolution in simulated gastric fluids. By adding the kosmotropic salts to the tablets, the rate and extent of drug release were increased, whereas the chaotropic anion iodide had no effect. The effect was pronounced even with the addition of as little as 2% of inorganic salts and tended to increase with the increasing amount of salt in the formulation. Tablets without salt stored under either dry or humid conditions exhibited a large difference in dissolution profiles, whereas little variation was observed for tablets with kosmotropic salts. In conclusion, the effect of inorganic salts was mechanistically clarified on ASD containing commonly used HPMC. This approach can be beneficial to successfully develop robust formulations containing ASD.&quot;,&quot;author&quot;:[{&quot;dropping-particle&quot;:&quot;&quot;,&quot;family&quot;:&quot;Takano&quot;,&quot;given&quot;:&quot;Ryusuke&quot;,&quot;non-dropping-particle&quot;:&quot;&quot;,&quot;parse-names&quot;:false,&quot;suffix&quot;:&quot;&quot;},{&quot;dropping-particle&quot;:&quot;&quot;,&quot;family&quot;:&quot;Maurer&quot;,&quot;given&quot;:&quot;Reto&quot;,&quot;non-dropping-particle&quot;:&quot;&quot;,&quot;parse-names&quot;:false,&quot;suffix&quot;:&quot;&quot;},{&quot;dropping-particle&quot;:&quot;&quot;,&quot;family&quot;:&quot;Jacob&quot;,&quot;given&quot;:&quot;Laurence&quot;,&quot;non-dropping-particle&quot;:&quot;&quot;,&quot;parse-names&quot;:false,&quot;suffix&quot;:&quot;&quot;},{&quot;dropping-particle&quot;:&quot;&quot;,&quot;family&quot;:&quot;Stowasser&quot;,&quot;given&quot;:&quot;Frank&quot;,&quot;non-dropping-particle&quot;:&quot;&quot;,&quot;parse-names&quot;:false,&quot;suffix&quot;:&quot;&quot;},{&quot;dropping-particle&quot;:&quot;&quot;,&quot;family&quot;:&quot;Stillhart&quot;,&quot;given&quot;:&quot;Cordula&quot;,&quot;non-dropping-particle&quot;:&quot;&quot;,&quot;parse-names&quot;:false,&quot;suffix&quot;:&quot;&quot;},{&quot;dropping-particle&quot;:&quot;&quot;,&quot;family&quot;:&quot;Page&quot;,&quot;given&quot;:&quot;Susanne&quot;,&quot;non-dropping-particle&quot;:&quot;&quot;,&quot;parse-names&quot;:false,&quot;suffix&quot;:&quot;&quot;}],&quot;container-title&quot;:&quot;Molecular Pharmaceutics&quot;,&quot;id&quot;:&quot;38bf1da6-3659-5cb7-8f67-03f67ad0b00a&quot;,&quot;issue&quot;:&quot;8&quot;,&quot;issued&quot;:{&quot;date-parts&quot;:[[&quot;2020&quot;]]},&quot;page&quot;:&quot;2768-2778&quot;,&quot;title&quot;:&quot;Formulating Amorphous Solid Dispersions: Impact of Inorganic Salts on Drug Release from Tablets Containing Itraconazole-HPMC Extrudate&quot;,&quot;type&quot;:&quot;article-journal&quot;,&quot;volume&quot;:&quot;17&quot;,&quot;container-title-short&quot;:&quot;&quot;},&quot;uris&quot;:[&quot;http://www.mendeley.com/documents/?uuid=544d561b-ad4a-441b-a71c-f0c63d0a9e8a&quot;],&quot;isTemporary&quot;:false,&quot;legacyDesktopId&quot;:&quot;544d561b-ad4a-441b-a71c-f0c63d0a9e8a&quot;}]},{&quot;citationID&quot;:&quot;MENDELEY_CITATION_7a8224f5-58e7-45c3-91c3-966979d15882&quot;,&quot;properties&quot;:{&quot;noteIndex&quot;:0},&quot;isEdited&quot;:false,&quot;manualOverride&quot;:{&quot;citeprocText&quot;:&quot;(Alhijjaj et al., 2016)&quot;,&quot;isManuallyOverridden&quot;:false,&quot;manualOverrideText&quot;:&quot;&quot;},&quot;citationTag&quot;:&quot;MENDELEY_CITATION_v3_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&quot;,&quot;citationItems&quot;:[{&quot;id&quot;:&quot;39ea055a-995d-5be7-a1a4-680bfcfba56f&quot;,&quot;itemData&quot;:{&quot;DOI&quot;:&quot;10.1016/j.ejpb.2016.08.016&quot;,&quot;ISSN&quot;:&quot;18733441&quot;,&quot;PMID&quot;:&quot;27594210&quot;,&quot;abstract&quot;:&quot;FDM 3D printing has been recently attracted increasing research efforts towards the production of personalized solid oral formulations. However, commercially available FDM printers are extremely limited with regards to the materials that can be processed to few types of thermoplastic polymers, which often may not be pharmaceutically approved materials nor ideal for optimizing dosage form performance of poor soluble compounds. This study explored the use of polymer blends as a formulation strategy to overcome this processability issue and to provide adjustable drug release rates from the printed dispersions. Solid dispersions of felodipine, the model drug, were successfully fabricated using FDM 3D printing with polymer blends of PEG, PEO and Tween 80 with either Eudragit E PO or Soluplus. As PVA is one of most widely used polymers in FDM 3D printing, a PVA based solid dispersion was used as a benchmark to compare the polymer blend systems to in terms of processability. The polymer blends exhibited excellent printability and were suitable for processing using a commercially available FDM 3D printer. With 10% drug loading, all characterization data indicated that the model drug was molecularly dispersed in the matrices. During in vitro dissolution testing, it was clear that the disintegration behavior of the formulations significantly influenced the rates of drug release. Eudragit EPO based blend dispersions showed bulk disintegration; whereas the Soluplus based blends showed the ‘peeling’ style disintegration of strip-by-strip. The results indicated that interplay of the miscibility between excipients in the blends, the solubility of the materials in the dissolution media and the degree of fusion between the printed strips during FDM process can be used to manipulate the drug release rate of the dispersions. This brings new insight into the design principles of controlled release formulations using FDM 3D printing.&quot;,&quot;author&quot;:[{&quot;dropping-particle&quot;:&quot;&quot;,&quot;family&quot;:&quot;Alhijjaj&quot;,&quot;given&quot;:&quot;Muqdad&quot;,&quot;non-dropping-particle&quot;:&quot;&quot;,&quot;parse-names&quot;:false,&quot;suffix&quot;:&quot;&quot;},{&quot;dropping-particle&quot;:&quot;&quot;,&quot;family&quot;:&quot;Belton&quot;,&quot;given&quot;:&quot;Peter&quot;,&quot;non-dropping-particle&quot;:&quot;&quot;,&quot;parse-names&quot;:false,&quot;suffix&quot;:&quot;&quot;},{&quot;dropping-particle&quot;:&quot;&quot;,&quot;family&quot;:&quot;Qi&quot;,&quot;given&quot;:&quot;Sheng&quot;,&quot;non-dropping-particle&quot;:&quot;&quot;,&quot;parse-names&quot;:false,&quot;suffix&quot;:&quot;&quot;}],&quot;container-title&quot;:&quot;European Journal of Pharmaceutics and Biopharmaceutics&quot;,&quot;id&quot;:&quot;39ea055a-995d-5be7-a1a4-680bfcfba56f&quot;,&quot;issued&quot;:{&quot;date-parts&quot;:[[&quot;2016&quot;]]},&quot;page&quot;:&quot;111-125&quot;,&quot;publisher&quot;:&quot;Elsevier B.V.&quot;,&quot;title&quot;:&quot;An investigation into the use of polymer blends to improve the printability of and regulate drug release from pharmaceutical solid dispersions prepared via fused deposition modeling (FDM) 3D printing&quot;,&quot;type&quot;:&quot;article-journal&quot;,&quot;volume&quot;:&quot;108&quot;,&quot;container-title-short&quot;:&quot;&quot;},&quot;uris&quot;:[&quot;http://www.mendeley.com/documents/?uuid=1b5e52c1-b11d-4336-99f8-8f79c3e50b6b&quot;],&quot;isTemporary&quot;:false,&quot;legacyDesktopId&quot;:&quot;1b5e52c1-b11d-4336-99f8-8f79c3e50b6b&quot;}]},{&quot;citationID&quot;:&quot;MENDELEY_CITATION_06ae0656-5a80-4d57-861c-7662b3e3e94f&quot;,&quot;properties&quot;:{&quot;noteIndex&quot;:0},&quot;isEdited&quot;:false,&quot;manualOverride&quot;:{&quot;citeprocText&quot;:&quot;(Liao et al., 2020)&quot;,&quot;isManuallyOverridden&quot;:false,&quot;manualOverrideText&quot;:&quot;&quot;},&quot;citationTag&quot;:&quot;MENDELEY_CITATION_v3_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&quot;,&quot;citationItems&quot;:[{&quot;id&quot;:&quot;1f8072b5-1207-5c05-bc89-3f6c2af07009&quot;,&quot;itemData&quot;:{&quot;DOI&quot;:&quot;10.1016/j.ijpharm.2020.119444&quot;,&quot;ISSN&quot;:&quot;18733476&quot;,&quot;PMID&quot;:&quot;32445908&quot;,&quot;abstract&quot;:&quot;Spray freeze drying is a particle engineering technique that allows the production of porous particles of low density with excellent aerosol performance for inhalation. There are a number of operating parameters that can be manipulated in order to optimise the powder properties. In this study, a two-fluid nozzle was used to prepare spray freeze dried formulation of voriconazole, a triazole antifungal agent for the treatment of pulmonary aspergillosis. A full factorial design approach was adopted to explore the effects of drug concentration, atomisation gas flow rate and primary drying temperature. The aerosol performance of the spray freeze dried powder was evaluated using the next generation impactor (NGI) operated with different inhaler devices and flow rates. The results showed that the primary drying temperature played an important role in determining the aerosol properties of the powder. In general, the higher the primary drying temperature, the lower the emitted fraction (EF) and the higher the fine particle fraction (FPF). Formulations that contained the highest voriconazole concentration (80% w/w) and prepared at a high primary drying temperature (−10 °C) exhibited the best aerosol performance under different experimental conditions. The high concentration of the hydrophobic voriconazole reduced surface energy and cohesion, hence better powder dispersibility. The powders produced with higher primary drying temperature had a smaller particle size after dispersion and improved aerosol property, possibly due to the faster sublimation rate in the freeze-drying step that led to the formation of less aggregating or more fragile particles. Moreover, Breezhaler®, which has a low intrinsic resistance, was able to generate the best aerosol performance of the spray freeze dried voriconazole powders in terms of FPF.&quot;,&quot;author&quot;:[{&quot;dropping-particle&quot;:&quot;&quot;,&quot;family&quot;:&quot;Liao&quot;,&quot;given&quot;:&quot;Qiuying&quot;,&quot;non-dropping-particle&quot;:&quot;&quot;,&quot;parse-names&quot;:false,&quot;suffix&quot;:&quot;&quot;},{&quot;dropping-particle&quot;:&quot;&quot;,&quot;family&quot;:&quot;Lam&quot;,&quot;given&quot;:&quot;Ivan C.H.&quot;,&quot;non-dropping-particle&quot;:&quot;&quot;,&quot;parse-names&quot;:false,&quot;suffix&quot;:&quot;&quot;},{&quot;dropping-particle&quot;:&quot;&quot;,&quot;family&quot;:&quot;Lin&quot;,&quot;given&quot;:&quot;Hinson H.S.&quot;,&quot;non-dropping-particle&quot;:&quot;&quot;,&quot;parse-names&quot;:false,&quot;suffix&quot;:&quot;&quot;},{&quot;dropping-particle&quot;:&quot;&quot;,&quot;family&quot;:&quot;Wan&quot;,&quot;given&quot;:&quot;Leon T.L.&quot;,&quot;non-dropping-particle&quot;:&quot;&quot;,&quot;parse-names&quot;:false,&quot;suffix&quot;:&quot;&quot;},{&quot;dropping-particle&quot;:&quot;&quot;,&quot;family&quot;:&quot;Lo&quot;,&quot;given&quot;:&quot;Jason C.K.&quot;,&quot;non-dropping-particle&quot;:&quot;&quot;,&quot;parse-names&quot;:false,&quot;suffix&quot;:&quot;&quot;},{&quot;dropping-particle&quot;:&quot;&quot;,&quot;family&quot;:&quot;Tai&quot;,&quot;given&quot;:&quot;Waiting&quot;,&quot;non-dropping-particle&quot;:&quot;&quot;,&quot;parse-names&quot;:false,&quot;suffix&quot;:&quot;&quot;},{&quot;dropping-particle&quot;:&quot;&quot;,&quot;family&quot;:&quot;Kwok&quot;,&quot;given&quot;:&quot;Philip C.L.&quot;,&quot;non-dropping-particle&quot;:&quot;&quot;,&quot;parse-names&quot;:false,&quot;suffix&quot;:&quot;&quot;},{&quot;dropping-particle&quot;:&quot;&quot;,&quot;family&quot;:&quot;Lam&quot;,&quot;given&quot;:&quot;Jenny K.W.&quot;,&quot;non-dropping-particle&quot;:&quot;&quot;,&quot;parse-names&quot;:false,&quot;suffix&quot;:&quot;&quot;}],&quot;container-title&quot;:&quot;International Journal of Pharmaceutics&quot;,&quot;id&quot;:&quot;1f8072b5-1207-5c05-bc89-3f6c2af07009&quot;,&quot;issued&quot;:{&quot;date-parts&quot;:[[&quot;2020&quot;]]},&quot;title&quot;:&quot;Effect of formulation and inhaler parameters on the dispersion of spray freeze dried voriconazole particles&quot;,&quot;type&quot;:&quot;article-journal&quot;,&quot;volume&quot;:&quot;584&quot;,&quot;container-title-short&quot;:&quot;&quot;},&quot;uris&quot;:[&quot;http://www.mendeley.com/documents/?uuid=12cb36d7-d7ca-4890-971c-f09f3d7aa667&quot;],&quot;isTemporary&quot;:false,&quot;legacyDesktopId&quot;:&quot;12cb36d7-d7ca-4890-971c-f09f3d7aa667&quot;}]},{&quot;citationID&quot;:&quot;MENDELEY_CITATION_2b1230ae-b41b-40f1-8202-843d9f93244a&quot;,&quot;properties&quot;:{&quot;noteIndex&quot;:0},&quot;isEdited&quot;:false,&quot;manualOverride&quot;:{&quot;citeprocText&quot;:&quot;(Liu et al., 2020)&quot;,&quot;isManuallyOverridden&quot;:false,&quot;manualOverrideText&quot;:&quot;&quot;},&quot;citationTag&quot;:&quot;MENDELEY_CITATION_v3_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&quot;,&quot;citationItems&quot;:[{&quot;id&quot;:&quot;e609e3bc-a7da-5669-ac18-668d596e3091&quot;,&quot;itemData&quot;:{&quot;DOI&quot;:&quot;10.1111/jfpp.14460&quot;,&quot;ISSN&quot;:&quot;17454549&quot;,&quot;abstract&quot;:&quot;This study aims to obtain the physicochemical properties of hawthorn fruit powder produced using different methods. Two drying methods, hot-air drying and freeze-drying, and three grinding methods, mortar grinding, shear pulverization, and jet milling, were applied to obtain the hawthorn fruit powders. The physicochemical properties of the six powders were compared using scanning electron microscopy, X-ray diffraction (XRD) analysis, and differential scanning calorimetry. The phenolic content analyses were performed using EIS-MS2 high-pressure liquid chromatography. The results showed that freeze-drying and shear pulverization yielded higher content of cyanidin-3-galactoside content. Freeze-drying and jet milling were the most effective for reduction of the hawthorn fruit powder particle size (D50 value 27.81 μm); a higher water solubility index; higher phenolic content, such as chlorogenic acid and hyperoside; and a more natural color, all of which made the powder better for application in functional foods. Different drying and grinding methods did not change the crystal structure of the hawthorn fruit powder fiber. As a result, the superfine grinding of hawthorn fruit powders could be a promising process in manufacturing instant and convenient foods, as well as active pharmaceutical ingredients. Practical applications: Superfine grinding is a new technology that can yield powder with excellent surface properties. Ultrafine powder has unique physical and chemical properties, such as good solubility, dispersion, adsorption, and chemical activity, and is an ideal means of food processing. Hot-air drying in combination with jet milling can significantly improve the fluidity of the powder. However, freeze-drying in combination with jet milling results in a higher water solubility index (WSI), procyanidin B2, and chlorogenic acid content, and a more uniform and nonseparable mixture. Freeze-dried powders have smaller particle sizes and larger specific surface areas than hot-air-dried powders. The superfine grinding of hawthorn fruit powders could be a promising process in manufacturing instant and convenient foods, as well as active the pharmaceutical ingredients.&quot;,&quot;author&quot;:[{&quot;dropping-particle&quot;:&quot;&quot;,&quot;family&quot;:&quot;Liu&quot;,&quot;given&quot;:&quot;Suwen&quot;,&quot;non-dropping-particle&quot;:&quot;&quot;,&quot;parse-names&quot;:false,&quot;suffix&quot;:&quot;&quot;},{&quot;dropping-particle&quot;:&quot;&quot;,&quot;family&quot;:&quot;Yu&quot;,&quot;given&quot;:&quot;Jincheng&quot;,&quot;non-dropping-particle&quot;:&quot;&quot;,&quot;parse-names&quot;:false,&quot;suffix&quot;:&quot;&quot;},{&quot;dropping-particle&quot;:&quot;&quot;,&quot;family&quot;:&quot;Zou&quot;,&quot;given&quot;:&quot;Jing&quot;,&quot;non-dropping-particle&quot;:&quot;&quot;,&quot;parse-names&quot;:false,&quot;suffix&quot;:&quot;&quot;},{&quot;dropping-particle&quot;:&quot;&quot;,&quot;family&quot;:&quot;Yang&quot;,&quot;given&quot;:&quot;Yang&quot;,&quot;non-dropping-particle&quot;:&quot;&quot;,&quot;parse-names&quot;:false,&quot;suffix&quot;:&quot;&quot;},{&quot;dropping-particle&quot;:&quot;&quot;,&quot;family&quot;:&quot;Cui&quot;,&quot;given&quot;:&quot;Lixian&quot;,&quot;non-dropping-particle&quot;:&quot;&quot;,&quot;parse-names&quot;:false,&quot;suffix&quot;:&quot;&quot;},{&quot;dropping-particle&quot;:&quot;&quot;,&quot;family&quot;:&quot;Chang&quot;,&quot;given&quot;:&quot;Xuedong&quot;,&quot;non-dropping-particle&quot;:&quot;&quot;,&quot;parse-names&quot;:false,&quot;suffix&quot;:&quot;&quot;}],&quot;container-title&quot;:&quot;Journal of Food Processing and Preservation&quot;,&quot;id&quot;:&quot;e609e3bc-a7da-5669-ac18-668d596e3091&quot;,&quot;issue&quot;:&quot;6&quot;,&quot;issued&quot;:{&quot;date-parts&quot;:[[&quot;2020&quot;]]},&quot;title&quot;:&quot;Effects of different drying and milling methods on the physicochemical properties and phenolic content of hawthorn fruit powders&quot;,&quot;type&quot;:&quot;article-journal&quot;,&quot;volume&quot;:&quot;44&quot;,&quot;container-title-short&quot;:&quot;&quot;},&quot;uris&quot;:[&quot;http://www.mendeley.com/documents/?uuid=5e7fa8c6-ae3b-447e-9139-03264b0a13af&quot;],&quot;isTemporary&quot;:false,&quot;legacyDesktopId&quot;:&quot;5e7fa8c6-ae3b-447e-9139-03264b0a13af&quot;}]},{&quot;citationID&quot;:&quot;MENDELEY_CITATION_d03ee5de-e9b6-4f6a-b52a-72713e7329ee&quot;,&quot;properties&quot;:{&quot;noteIndex&quot;:0},&quot;isEdited&quot;:false,&quot;manualOverride&quot;:{&quot;citeprocText&quot;:&quot;(Lafeber et al., 2022a)&quot;,&quot;isManuallyOverridden&quot;:false,&quot;manualOverrideText&quot;:&quot;&quot;},&quot;citationTag&quot;:&quot;MENDELEY_CITATION_v3_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&quot;,&quot;citationItems&quot;:[{&quot;id&quot;:&quot;01d3b9a8-f3c8-5d44-9d6b-b994f211cddb&quot;,&quot;itemData&quot;:{&quot;DOI&quot;:&quot;10.3390/pharmaceutics14020416&quot;,&quot;ISSN&quot;:&quot;19994923&quot;,&quot;abstract&quot;:&quot;3D printing of pediatric-centered drug formulations can provide suitable alternatives to current treatment options, though further research is still warranted for successful clinical imple-mentation of these innovative drug products. Extensive research has been conducted on the com-pliance of 3D-printed drug products to a pediatric quality target product profile. The 3D-printed tablets were of particular interest in providing superior dosing and release profile similarity compared to conventional drug manipulation and compounding methods, such as oral liquids. In the future, acceptance of 3D-printed tablets in the pediatric patient population might be better than current treatments due to improved palatability. Further research should focus on expanding clinical knowledge, providing regulatory guidance and expansion of the product range, including dosage form possibilities. Moreover, it should enable the use of diverse good manufacturing practice (GMP)-ready 3D printing techniques for the production of various drug products for the pediatric patient population.&quot;,&quot;author&quot;:[{&quot;dropping-particle&quot;:&quot;&quot;,&quot;family&quot;:&quot;Lafeber&quot;,&quot;given&quot;:&quot;Iris&quot;,&quot;non-dropping-particle&quot;:&quot;&quot;,&quot;parse-names&quot;:false,&quot;suffix&quot;:&quot;&quot;},{&quot;dropping-particle&quot;:&quot;&quot;,&quot;family&quot;:&quot;Ruijgrok&quot;,&quot;given&quot;:&quot;Elisabeth J.&quot;,&quot;non-dropping-particle&quot;:&quot;&quot;,&quot;parse-names&quot;:false,&quot;suffix&quot;:&quot;&quot;},{&quot;dropping-particle&quot;:&quot;&quot;,&quot;family&quot;:&quot;Guchelaar&quot;,&quot;given&quot;:&quot;Henk Jan&quot;,&quot;non-dropping-particle&quot;:&quot;&quot;,&quot;parse-names&quot;:false,&quot;suffix&quot;:&quot;&quot;},{&quot;dropping-particle&quot;:&quot;&quot;,&quot;family&quot;:&quot;Schimmel&quot;,&quot;given&quot;:&quot;Kirsten J.M.&quot;,&quot;non-dropping-particle&quot;:&quot;&quot;,&quot;parse-names&quot;:false,&quot;suffix&quot;:&quot;&quot;}],&quot;container-title&quot;:&quot;Pharmaceutics&quot;,&quot;id&quot;:&quot;01d3b9a8-f3c8-5d44-9d6b-b994f211cddb&quot;,&quot;issue&quot;:&quot;2&quot;,&quot;issued&quot;:{&quot;date-parts&quot;:[[&quot;2022&quot;]]},&quot;page&quot;:&quot;1-23&quot;,&quot;title&quot;:&quot;3D Printing of Pediatric Medication: The End of Bad Tasting Oral Liquids?—A Scoping Review&quot;,&quot;type&quot;:&quot;article-journal&quot;,&quot;volume&quot;:&quot;14&quot;,&quot;container-title-short&quot;:&quot;Pharmaceutics&quot;},&quot;uris&quot;:[&quot;http://www.mendeley.com/documents/?uuid=a1158610-8a32-4e0e-b143-f938b259f5a4&quot;],&quot;isTemporary&quot;:false,&quot;legacyDesktopId&quot;:&quot;a1158610-8a32-4e0e-b143-f938b259f5a4&quot;}]},{&quot;citationID&quot;:&quot;MENDELEY_CITATION_165e3927-461d-4f39-8a81-838567a2703d&quot;,&quot;properties&quot;:{&quot;noteIndex&quot;:0},&quot;isEdited&quot;:false,&quot;manualOverride&quot;:{&quot;citeprocText&quot;:&quot;(Zhao et al., 2018; Zuccari et al., 2022)&quot;,&quot;isManuallyOverridden&quot;:false,&quot;manualOverrideText&quot;:&quot;&quot;},&quot;citationTag&quot;:&quot;MENDELEY_CITATION_v3_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&quot;,&quot;citationItems&quot;:[{&quot;id&quot;:&quot;b9339ab1-997d-52a8-ac55-a8faba56f037&quot;,&quot;itemData&quot;:{&quot;DOI&quot;:&quot;10.3390/ph15010108&quot;,&quot;ISSN&quot;:&quot;14248247&quot;,&quot;abstract&quot;:&quot;In the treatment of pediatric diseases, mass-produced dosage forms are often not suitable for children. Commercially available medicines are commonly manipulated and mixed with food by caregivers at home, or extemporaneous medications are routinely compounded in the hospital pharmacies to treat hospitalized children. Despite considerable efforts by regulatory agencies, the pediatric population is still exposed to questionable and potentially harmful practices. When designing medicines for children, the ability to fine-tune the dosage while ensuring the safety of the ingredients is of paramount importance. For these purposes solid formulations may represent a valid alternative to liquid formulations for their simpler formula and more stability, and, to overcome the problem of swelling ability, mini-tablets could be a practicable option. This review deals with the different approaches that may be applied to develop mini-tablets intended for pediatrics with a focus on the safety of excipients. Alongside the conventional method of compression, 3D printing appeared particularly appealing, as it allows to reduce the number of ingredients and to avoid both the mixing of powders and intermediate steps such as granulation. Therefore, this technique could be well adaptable to the daily galenic preparations of a hospital pharmacy, thus leading to a reduction of the common practice of off-label preparations.&quot;,&quot;author&quot;:[{&quot;dropping-particle&quot;:&quot;&quot;,&quot;family&quot;:&quot;Zuccari&quot;,&quot;given&quot;:&quot;Guendalina&quot;,&quot;non-dropping-particle&quot;:&quot;&quot;,&quot;parse-names&quot;:false,&quot;suffix&quot;:&quot;&quot;},{&quot;dropping-particle&quot;:&quot;&quot;,&quot;family&quot;:&quot;Alfei&quot;,&quot;given&quot;:&quot;Silvana&quot;,&quot;non-dropping-particle&quot;:&quot;&quot;,&quot;parse-names&quot;:false,&quot;suffix&quot;:&quot;&quot;},{&quot;dropping-particle&quot;:&quot;&quot;,&quot;family&quot;:&quot;Marimpietri&quot;,&quot;given&quot;:&quot;Danilo&quot;,&quot;non-dropping-particle&quot;:&quot;&quot;,&quot;parse-names&quot;:false,&quot;suffix&quot;:&quot;&quot;},{&quot;dropping-particle&quot;:&quot;&quot;,&quot;family&quot;:&quot;Iurilli&quot;,&quot;given&quot;:&quot;Valentina&quot;,&quot;non-dropping-particle&quot;:&quot;&quot;,&quot;parse-names&quot;:false,&quot;suffix&quot;:&quot;&quot;},{&quot;dropping-particle&quot;:&quot;&quot;,&quot;family&quot;:&quot;Barabino&quot;,&quot;given&quot;:&quot;Paola&quot;,&quot;non-dropping-particle&quot;:&quot;&quot;,&quot;parse-names&quot;:false,&quot;suffix&quot;:&quot;&quot;},{&quot;dropping-particle&quot;:&quot;&quot;,&quot;family&quot;:&quot;Marchitto&quot;,&quot;given&quot;:&quot;Leonardo&quot;,&quot;non-dropping-particle&quot;:&quot;&quot;,&quot;parse-names&quot;:false,&quot;suffix&quot;:&quot;&quot;}],&quot;container-title&quot;:&quot;Pharmaceuticals&quot;,&quot;id&quot;:&quot;b9339ab1-997d-52a8-ac55-a8faba56f037&quot;,&quot;issue&quot;:&quot;1&quot;,&quot;issued&quot;:{&quot;date-parts&quot;:[[&quot;2022&quot;]]},&quot;title&quot;:&quot;Mini-Tablets: A Valid Strategy to Combine Efficacy and Safety in Pediatrics&quot;,&quot;type&quot;:&quot;article-journal&quot;,&quot;volume&quot;:&quot;15&quot;,&quot;container-title-short&quot;:&quot;&quot;},&quot;uris&quot;:[&quot;http://www.mendeley.com/documents/?uuid=6deaa5e2-ce07-4cb3-b1b6-b8bec11e35f3&quot;],&quot;isTemporary&quot;:false,&quot;legacyDesktopId&quot;:&quot;6deaa5e2-ce07-4cb3-b1b6-b8bec11e35f3&quot;},{&quot;id&quot;:&quot;9d135513-a604-58cd-9d99-70fee8de253d&quot;,&quot;itemData&quot;:{&quot;DOI&quot;:&quot;10.1016/j.xphs.2017.12.002&quot;,&quot;ISSN&quot;:&quot;15206017&quot;,&quot;PMID&quot;:&quot;29233726&quot;,&quot;abstract&quot;:&quot;Despite the increasing importance of mini-tablet for its advantages as pediatric formulations and in modified-release applications, its popularity is limited due to the lack of formulation and processing knowledge in developing such dosage forms. In this study, common grades of microcrystalline cellulose and roller compacted granules with a range of powder properties were used to evaluate the critical material properties required for the successful manufacturing of 1.7-mm mini-tablets. It was found that blends with small particle size had poor flow properties that did not support consistent die filling and also tended to cause tooling jam and damage. While the granulation process was effective in improving blend flow properties by increasing particle size, it is imperative to avoid very large particles that could also cause inadequate flow by blocking the space within the die. Successful mini-tablet compression could be achieved by removing particles larger than roughly 1/3 of the die diameter or milling the granules using a screen less than 1/3 of the die diameter.&quot;,&quot;author&quot;:[{&quot;dropping-particle&quot;:&quot;&quot;,&quot;family&quot;:&quot;Zhao&quot;,&quot;given&quot;:&quot;Junshu&quot;,&quot;non-dropping-particle&quot;:&quot;&quot;,&quot;parse-names&quot;:false,&quot;suffix&quot;:&quot;&quot;},{&quot;dropping-particle&quot;:&quot;&quot;,&quot;family&quot;:&quot;Yin&quot;,&quot;given&quot;:&quot;David&quot;,&quot;non-dropping-particle&quot;:&quot;&quot;,&quot;parse-names&quot;:false,&quot;suffix&quot;:&quot;&quot;},{&quot;dropping-particle&quot;:&quot;&quot;,&quot;family&quot;:&quot;Rowe&quot;,&quot;given&quot;:&quot;Jasmine&quot;,&quot;non-dropping-particle&quot;:&quot;&quot;,&quot;parse-names&quot;:false,&quot;suffix&quot;:&quot;&quot;},{&quot;dropping-particle&quot;:&quot;&quot;,&quot;family&quot;:&quot;Badawy&quot;,&quot;given&quot;:&quot;Sherif&quot;,&quot;non-dropping-particle&quot;:&quot;&quot;,&quot;parse-names&quot;:false,&quot;suffix&quot;:&quot;&quot;},{&quot;dropping-particle&quot;:&quot;&quot;,&quot;family&quot;:&quot;Nikfar&quot;,&quot;given&quot;:&quot;Faranak&quot;,&quot;non-dropping-particle&quot;:&quot;&quot;,&quot;parse-names&quot;:false,&quot;suffix&quot;:&quot;&quot;},{&quot;dropping-particle&quot;:&quot;&quot;,&quot;family&quot;:&quot;Pandey&quot;,&quot;given&quot;:&quot;Preetanshu&quot;,&quot;non-dropping-particle&quot;:&quot;&quot;,&quot;parse-names&quot;:false,&quot;suffix&quot;:&quot;&quot;}],&quot;container-title&quot;:&quot;Journal of Pharmaceutical Sciences&quot;,&quot;id&quot;:&quot;9d135513-a604-58cd-9d99-70fee8de253d&quot;,&quot;issue&quot;:&quot;4&quot;,&quot;issued&quot;:{&quot;date-parts&quot;:[[&quot;2018&quot;]]},&quot;page&quot;:&quot;1204-1208&quot;,&quot;title&quot;:&quot;Understanding the Factors That Control the Quality of Mini-Tablet Compression: Flow, Particle Size, and Tooling Dimension&quot;,&quot;type&quot;:&quot;article-journal&quot;,&quot;volume&quot;:&quot;107&quot;,&quot;container-title-short&quot;:&quot;&quot;},&quot;uris&quot;:[&quot;http://www.mendeley.com/documents/?uuid=3b5ffc35-df61-4039-b5da-7b6109219afb&quot;],&quot;isTemporary&quot;:false,&quot;legacyDesktopId&quot;:&quot;3b5ffc35-df61-4039-b5da-7b6109219afb&quot;}]},{&quot;citationID&quot;:&quot;MENDELEY_CITATION_ba1ebcbc-7eee-4cad-a2f5-57778b78a1cc&quot;,&quot;properties&quot;:{&quot;noteIndex&quot;:0},&quot;isEdited&quot;:false,&quot;manualOverride&quot;:{&quot;citeprocText&quot;:&quot;(El-Say et al., 2015; Poller et al., 2017)&quot;,&quot;isManuallyOverridden&quot;:false,&quot;manualOverrideText&quot;:&quot;&quot;},&quot;citationTag&quot;:&quot;MENDELEY_CITATION_v3_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&quot;,&quot;citationItems&quot;:[{&quot;id&quot;:&quot;192e9733-70f2-5ebe-a0e0-35764404d349&quot;,&quot;itemData&quot;:{&quot;DOI&quot;:&quot;10.1515/acph-2015-0038&quot;,&quot;ISSN&quot;:&quot;18469558&quot;,&quot;PMID&quot;:&quot;26677895&quot;,&quot;abstract&quot;:&quot;This study was aimed at developing risperidone oral disintegrating mini-tablets (OD-mini-tablets) as age-appropriate formulations and to assess their suitability for infants and pediatric use. An experimental Box-Behnken design was applied to assure high quality of the OD-mini-tablets and reduce product variability. The design was employed to understand the influence of the critical excipient combinations on the production of OD-mini-tablets and thus guarantee the feasibility of obtaining products with dosage form uniformity. The variables selected were mannitol percent in Avicel (X1), swelling pressure of the superdisintegrant (X2), and the surface area of Aerosil as a glidant (X3). Risperidone-excipient compatibilities were investigated using FTIR and the spectra did not display any interaction. Fifteen formulations were prepared and evaluated for preand post-compression characteristics. The prepared ODmini- tablet batches were also assessed for disintegration in simulated salivary fluid (SSF, pH 6.2) and in reconstituted skimmed milk. The optimized formula fulfilled the requirements for crushing strength of 5 kN with minimal friability, disintegration times of 8.4 and 53.7 s in SSF and skimmed milk, respectively. This study therefore proposes the risperidone OD-mini-tablet formula having robust mechanical properties, uniform and precise dosing of medication with short disintegration time suitable for pediatric use.&quot;,&quot;author&quot;:[{&quot;dropping-particle&quot;:&quot;&quot;,&quot;family&quot;:&quot;El-Say&quot;,&quot;given&quot;:&quot;Khalid M.&quot;,&quot;non-dropping-particle&quot;:&quot;&quot;,&quot;parse-names&quot;:false,&quot;suffix&quot;:&quot;&quot;},{&quot;dropping-particle&quot;:&quot;&quot;,&quot;family&quot;:&quot;Ahmed&quot;,&quot;given&quot;:&quot;Tarek A.&quot;,&quot;non-dropping-particle&quot;:&quot;&quot;,&quot;parse-names&quot;:false,&quot;suffix&quot;:&quot;&quot;},{&quot;dropping-particle&quot;:&quot;&quot;,&quot;family&quot;:&quot;Abdelbary&quot;,&quot;given&quot;:&quot;Maged F.&quot;,&quot;non-dropping-particle&quot;:&quot;&quot;,&quot;parse-names&quot;:false,&quot;suffix&quot;:&quot;&quot;},{&quot;dropping-particle&quot;:&quot;&quot;,&quot;family&quot;:&quot;Ali&quot;,&quot;given&quot;:&quot;Bahaa E.&quot;,&quot;non-dropping-particle&quot;:&quot;&quot;,&quot;parse-names&quot;:false,&quot;suffix&quot;:&quot;&quot;},{&quot;dropping-particle&quot;:&quot;&quot;,&quot;family&quot;:&quot;Aljaeid&quot;,&quot;given&quot;:&quot;Bader M.&quot;,&quot;non-dropping-particle&quot;:&quot;&quot;,&quot;parse-names&quot;:false,&quot;suffix&quot;:&quot;&quot;},{&quot;dropping-particle&quot;:&quot;&quot;,&quot;family&quot;:&quot;Zidan&quot;,&quot;given&quot;:&quot;Ahmed S.&quot;,&quot;non-dropping-particle&quot;:&quot;&quot;,&quot;parse-names&quot;:false,&quot;suffix&quot;:&quot;&quot;}],&quot;container-title&quot;:&quot;Acta Pharmaceutica&quot;,&quot;id&quot;:&quot;192e9733-70f2-5ebe-a0e0-35764404d349&quot;,&quot;issue&quot;:&quot;4&quot;,&quot;issued&quot;:{&quot;date-parts&quot;:[[&quot;2015&quot;]]},&quot;page&quot;:&quot;365-382&quot;,&quot;title&quot;:&quot;Risperidone oral disintegrating mini-tablets: A robust-product for pediatrics&quot;,&quot;type&quot;:&quot;article-journal&quot;,&quot;volume&quot;:&quot;65&quot;,&quot;container-title-short&quot;:&quot;&quot;},&quot;uris&quot;:[&quot;http://www.mendeley.com/documents/?uuid=d4272377-ae5e-4ff2-a888-ff7bb6c8e6d3&quot;],&quot;isTemporary&quot;:false,&quot;legacyDesktopId&quot;:&quot;d4272377-ae5e-4ff2-a888-ff7bb6c8e6d3&quot;},{&quot;id&quot;:&quot;d0930414-1630-5ea5-bc6a-5dfa8035983f&quot;,&quot;itemData&quot;:{&quot;DOI&quot;:&quot;10.1016/j.ejpb.2017.01.022&quot;,&quot;ISSN&quot;:&quot;18733441&quot;,&quot;PMID&quot;:&quot;28167295&quot;,&quot;abstract&quot;:&quot;The purpose of this study was to evaluate electrospun drug loaded nanofibers as a new matrix for minitablets. Prednisone, a poorly water-soluble drug, was loaded into povidone (polyvinylpyrrolidone, PVP) nanofibers using the process of electrospinning. The drug-loaded nanofiber mat was compressed into minitablets with a 2 mm diameter and a height of 2.63 ± 0.04 mm. SEM analysis of the minitablet identified a nano-web structure with a nanofiber diameter in the range of 400–500 nm. The minitablets met the requirements of the US Pharmacopeia with respect to content uniformity and friability. DSC and XRPD analysis of the minitablet indicated that the drug-polymer mixture was a one-phase amorphous system. XRPD analysis of the drug loaded nanofiber mat after 10-months of storage at ambient temperature showed no evidence of recrystallization of the drug. Solubility and dissolution properties of the drug formulated into a nanofiber mat and minitablet were evaluated. These results show that electrospun nanofibers may provide a useful matrix for the further development of minitablets.&quot;,&quot;author&quot;:[{&quot;dropping-particle&quot;:&quot;&quot;,&quot;family&quot;:&quot;Poller&quot;,&quot;given&quot;:&quot;Bettina&quot;,&quot;non-dropping-particle&quot;:&quot;&quot;,&quot;parse-names&quot;:false,&quot;suffix&quot;:&quot;&quot;},{&quot;dropping-particle&quot;:&quot;&quot;,&quot;family&quot;:&quot;Strachan&quot;,&quot;given&quot;:&quot;Clare&quot;,&quot;non-dropping-particle&quot;:&quot;&quot;,&quot;parse-names&quot;:false,&quot;suffix&quot;:&quot;&quot;},{&quot;dropping-particle&quot;:&quot;&quot;,&quot;family&quot;:&quot;Broadbent&quot;,&quot;given&quot;:&quot;Roland&quot;,&quot;non-dropping-particle&quot;:&quot;&quot;,&quot;parse-names&quot;:false,&quot;suffix&quot;:&quot;&quot;},{&quot;dropping-particle&quot;:&quot;&quot;,&quot;family&quot;:&quot;Walker&quot;,&quot;given&quot;:&quot;Greg F.&quot;,&quot;non-dropping-particle&quot;:&quot;&quot;,&quot;parse-names&quot;:false,&quot;suffix&quot;:&quot;&quot;}],&quot;container-title&quot;:&quot;European Journal of Pharmaceutics and Biopharmaceutics&quot;,&quot;id&quot;:&quot;d0930414-1630-5ea5-bc6a-5dfa8035983f&quot;,&quot;issued&quot;:{&quot;date-parts&quot;:[[&quot;2017&quot;]]},&quot;page&quot;:&quot;213-220&quot;,&quot;title&quot;:&quot;A minitablet formulation made from electrospun nanofibers&quot;,&quot;type&quot;:&quot;article-journal&quot;,&quot;volume&quot;:&quot;114&quot;,&quot;container-title-short&quot;:&quot;&quot;},&quot;uris&quot;:[&quot;http://www.mendeley.com/documents/?uuid=533ce55f-1137-48b1-b094-6f86f7e4a53f&quot;],&quot;isTemporary&quot;:false,&quot;legacyDesktopId&quot;:&quot;533ce55f-1137-48b1-b094-6f86f7e4a53f&quot;}]},{&quot;citationID&quot;:&quot;MENDELEY_CITATION_a0f97229-9dc5-49b1-b551-96bb2742d6e8&quot;,&quot;properties&quot;:{&quot;noteIndex&quot;:0},&quot;isEdited&quot;:false,&quot;manualOverride&quot;:{&quot;citeprocText&quot;:&quot;(Boniatti et al., 2021; Pistone et al., 2022)&quot;,&quot;isManuallyOverridden&quot;:false,&quot;manualOverrideText&quot;:&quot;&quot;},&quot;citationTag&quot;:&quot;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&quot;,&quot;citationItems&quot;:[{&quot;id&quot;:&quot;0baadfee-2755-59bb-899f-c98cd48f5825&quot;,&quot;itemData&quot;:{&quot;DOI&quot;:&quot;10.3390/pharmaceutics13081114&quot;,&quot;ISSN&quot;:&quot;19994923&quot;,&quot;abstract&quot;:&quot;For the last 40 years, praziquantel has been the standard treatment for schistosomiasis, a neglected parasitic disease affecting more than 250 million people worldwide. However, there is no suitable paediatric formulation on the market, leading to off-label use and the splitting of commercial tablets for adults. In this study, we use a recently available technology, direct powder extrusion (DPE) three-dimensional printing (3DP), to prepare paediatric Printlets™ (3D printed tablets) of amorphous solid dispersions of praziquantel with Kollidon® VA 64 and surfactants (Span™ 20 or Kolliphor® SLS). Printlets were successfully printed from both pellets and powders obtained from extrudates by hot melt extrusion (HME). In vitro dissolution studies showed a greater than four-fold increase in praziquantel release, due to the formation of amorphous solid dispersions. In vitro palatability data indicated that the printlets were in the range of praziquantel tolerability, highlighting the taste masking capabilities of this technology without the need for additional taste masking excipients. This work has demonstrated the possibility of 3D printing tablets using pellets or powder forms obtained by HME, avoiding the use of filaments in fused deposition modelling 3DP. Moreover, the main formulation hurdles of praziquantel, such as low drug solubility, inadequate taste, and high and variable dose requirements, can be overcome using this technology.&quot;,&quot;author&quot;:[{&quot;dropping-particle&quot;:&quot;&quot;,&quot;family&quot;:&quot;Boniatti&quot;,&quot;given&quot;:&quot;Janine&quot;,&quot;non-dropping-particle&quot;:&quot;&quot;,&quot;parse-names&quot;:false,&quot;suffix&quot;:&quot;&quot;},{&quot;dropping-particle&quot;:&quot;&quot;,&quot;family&quot;:&quot;Januskaite&quot;,&quot;given&quot;:&quot;Patricija&quot;,&quot;non-dropping-particle&quot;:&quot;&quot;,&quot;parse-names&quot;:false,&quot;suffix&quot;:&quot;&quot;},{&quot;dropping-particle&quot;:&quot;&quot;,&quot;family&quot;:&quot;Fonseca&quot;,&quot;given&quot;:&quot;Laís B.&quot;,&quot;non-dropping-particle&quot;:&quot;da&quot;,&quot;parse-names&quot;:false,&quot;suffix&quot;:&quot;&quot;},{&quot;dropping-particle&quot;:&quot;&quot;,&quot;family&quot;:&quot;Viçosa&quot;,&quot;given&quot;:&quot;Alessandra L.&quot;,&quot;non-dropping-particle&quot;:&quot;&quot;,&quot;parse-names&quot;:false,&quot;suffix&quot;:&quot;&quot;},{&quot;dropping-particle&quot;:&quot;&quot;,&quot;family&quot;:&quot;Amendoeira&quot;,&quot;given&quot;:&quot;Fábio C.&quot;,&quot;non-dropping-particle&quot;:&quot;&quot;,&quot;parse-names&quot;:false,&quot;suffix&quot;:&quot;&quot;},{&quot;dropping-particle&quot;:&quot;&quot;,&quot;family&quot;:&quot;Tuleu&quot;,&quot;given&quot;:&quot;Catherine&quot;,&quot;non-dropping-particle&quot;:&quot;&quot;,&quot;parse-names&quot;:false,&quot;suffix&quot;:&quot;&quot;},{&quot;dropping-particle&quot;:&quot;&quot;,&quot;family&quot;:&quot;Basit&quot;,&quot;given&quot;:&quot;Abdul W.&quot;,&quot;non-dropping-particle&quot;:&quot;&quot;,&quot;parse-names&quot;:false,&quot;suffix&quot;:&quot;&quot;},{&quot;dropping-particle&quot;:&quot;&quot;,&quot;family&quot;:&quot;Goyanes&quot;,&quot;given&quot;:&quot;Alvaro&quot;,&quot;non-dropping-particle&quot;:&quot;&quot;,&quot;parse-names&quot;:false,&quot;suffix&quot;:&quot;&quot;},{&quot;dropping-particle&quot;:&quot;&quot;,&quot;family&quot;:&quot;Ré&quot;,&quot;given&quot;:&quot;Maria Inês&quot;,&quot;non-dropping-particle&quot;:&quot;&quot;,&quot;parse-names&quot;:false,&quot;suffix&quot;:&quot;&quot;}],&quot;container-title&quot;:&quot;Pharmaceutics&quot;,&quot;id&quot;:&quot;0baadfee-2755-59bb-899f-c98cd48f5825&quot;,&quot;issue&quot;:&quot;8&quot;,&quot;issued&quot;:{&quot;date-parts&quot;:[[&quot;2021&quot;]]},&quot;title&quot;:&quot;Direct powder extrusion 3d printing of praziquantel to overcome neglected disease formulation challenges in paediatric populations&quot;,&quot;type&quot;:&quot;article-journal&quot;,&quot;volume&quot;:&quot;13&quot;,&quot;container-title-short&quot;:&quot;Pharmaceutics&quot;},&quot;uris&quot;:[&quot;http://www.mendeley.com/documents/?uuid=3d19e23b-2ea1-4b4b-9a50-617c98c8dd2a&quot;],&quot;isTemporary&quot;:false,&quot;legacyDesktopId&quot;:&quot;3d19e23b-2ea1-4b4b-9a50-617c98c8dd2a&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73482361-db9c-40e1-a9cb-613f7167f418&quot;,&quot;properties&quot;:{&quot;noteIndex&quot;:0},&quot;isEdited&quot;:false,&quot;manualOverride&quot;:{&quot;citeprocText&quot;:&quot;(Pistone et al., 2022)&quot;,&quot;isManuallyOverridden&quot;:false,&quot;manualOverrideText&quot;:&quot;&quot;},&quot;citationTag&quot;:&quot;MENDELEY_CITATION_v3_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SaXp6aSIsImdpdmVuIjoiUm9zYW5uYS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d1ea7c2c-139f-4c33-ba67-8cc5b7934177&quot;,&quot;properties&quot;:{&quot;noteIndex&quot;:0},&quot;isEdited&quot;:false,&quot;manualOverride&quot;:{&quot;citeprocText&quot;:&quot;(Pistone et al., 2022; Sánchez-Guirales et al., 2021)&quot;,&quot;isManuallyOverridden&quot;:false,&quot;manualOverrideText&quot;:&quot;&quot;},&quot;citationTag&quot;:&quot;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&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id&quot;:&quot;34ef21a1-a04c-5ec2-9c1b-1bafb119e1e5&quot;,&quot;itemData&quot;:{&quot;DOI&quot;:&quot;10.3390/pharmaceutics13101583&quot;,&quot;ISSN&quot;:&quot;19994923&quot;,&quot;abstract&quot;:&quot;Fuse deposition modelling (FDM) has emerged as a novel technology for manufacturing 3D printed medicines. However, it is a two-step process requiring the fabrication of filaments using a hot melt extruder with suitable properties prior to printing taking place, which can be a rate-lim-iting step in its application into clinical practice. Direct powder extrusion can overcome the difficul-ties encountered with fabrication of pharmaceutical-quality filaments for FDM, allowing the man-ufacturing, in a single step, of 3D printed solid dosage forms. In this study, we demonstrate the manufacturing of small-weight (&lt;100 mg) solid dosage forms with high drug loading (25%) that can be easily undertaken by healthcare professionals to treat hypertension. 3D printed nifedipine minitablets containing 20 mg were manufactured by direct powder extrusion combining 15% polyethylene glycol 4000 Da, 40% hydroxypropyl cellulose, 19% hydroxy propyl methyl cellulose acetate succinate, and 1% magnesium stearate. The fabricated 3D printed minitablets of small overall weight did not disintegrate during dissolution and allowed for controlled drug release over 24 h, based on erosion. This release profile of the printed minitablets is more suitable for hypertensive patients than immediate-release tablets that can lead to a marked burst effect, triggering hypoten-sion. The small size of the minitablet allows it to fit inside of a 0-size capsule and be combined with other minitablets, of other API, for the treatment of complex diseases requiring polypharmacy within a single dosage form.&quot;,&quot;author&quot;:[{&quot;dropping-particle&quot;:&quot;&quot;,&quot;family&quot;:&quot;Sánchez-Guirales&quot;,&quot;given&quot;:&quot;Sergio A.&quot;,&quot;non-dropping-particle&quot;:&quot;&quot;,&quot;parse-names&quot;:false,&quot;suffix&quot;:&quot;&quot;},{&quot;dropping-particle&quot;:&quot;&quot;,&quot;family&quot;:&quot;Jurado&quot;,&quot;given&quot;:&quot;Noelia&quot;,&quot;non-dropping-particle&quot;:&quot;&quot;,&quot;parse-names&quot;:false,&quot;suffix&quot;:&quot;&quot;},{&quot;dropping-particle&quot;:&quot;&quot;,&quot;family&quot;:&quot;Kara&quot;,&quot;given&quot;:&quot;Aytug&quot;,&quot;non-dropping-particle&quot;:&quot;&quot;,&quot;parse-names&quot;:false,&quot;suffix&quot;:&quot;&quot;},{&quot;dropping-particle&quot;:&quot;&quot;,&quot;family&quot;:&quot;Lalatsa&quot;,&quot;given&quot;:&quot;Aikaterini&quot;,&quot;non-dropping-particle&quot;:&quot;&quot;,&quot;parse-names&quot;:false,&quot;suffix&quot;:&quot;&quot;},{&quot;dropping-particle&quot;:&quot;&quot;,&quot;family&quot;:&quot;Serrano&quot;,&quot;given&quot;:&quot;Dolores R.&quot;,&quot;non-dropping-particle&quot;:&quot;&quot;,&quot;parse-names&quot;:false,&quot;suffix&quot;:&quot;&quot;}],&quot;container-title&quot;:&quot;Pharmaceutics&quot;,&quot;id&quot;:&quot;34ef21a1-a04c-5ec2-9c1b-1bafb119e1e5&quot;,&quot;issue&quot;:&quot;10&quot;,&quot;issued&quot;:{&quot;date-parts&quot;:[[&quot;2021&quot;]]},&quot;title&quot;:&quot;Understanding direct powder extrusion for fabrication of 3d printed personalised medicines: A case study for nifedipine minitablets&quot;,&quot;type&quot;:&quot;article-journal&quot;,&quot;volume&quot;:&quot;13&quot;,&quot;container-title-short&quot;:&quot;Pharmaceutics&quot;},&quot;uris&quot;:[&quot;http://www.mendeley.com/documents/?uuid=bba937fa-6e8d-40f7-90bb-a925871c0949&quot;],&quot;isTemporary&quot;:false,&quot;legacyDesktopId&quot;:&quot;bba937fa-6e8d-40f7-90bb-a925871c0949&quot;}]},{&quot;citationID&quot;:&quot;MENDELEY_CITATION_ea02a461-4231-4807-a62e-d83a785b4332&quot;,&quot;properties&quot;:{&quot;noteIndex&quot;:0},&quot;isEdited&quot;:false,&quot;manualOverride&quot;:{&quot;citeprocText&quot;:&quot;(Stato, n.d.)&quot;,&quot;isManuallyOverridden&quot;:false,&quot;manualOverrideText&quot;:&quot;&quot;},&quot;citationTag&quot;:&quot;MENDELEY_CITATION_v3_eyJjaXRhdGlvbklEIjoiTUVOREVMRVlfQ0lUQVRJT05fZWEwMmE0NjEtNDIzMS00ODA3LWE2MmUtZDgzYTc4NWI0MzMy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27d42097-b793-4d28-aa6e-23f73e7c0101&quot;,&quot;properties&quot;:{&quot;noteIndex&quot;:0},&quot;isEdited&quot;:false,&quot;manualOverride&quot;:{&quot;citeprocText&quot;:&quot;(Stato, n.d.)&quot;,&quot;isManuallyOverridden&quot;:false,&quot;manualOverrideText&quot;:&quot;&quot;},&quot;citationTag&quot;:&quot;MENDELEY_CITATION_v3_eyJjaXRhdGlvbklEIjoiTUVOREVMRVlfQ0lUQVRJT05fMjdkNDIwOTctYjc5My00ZDI4LWFhNmUtMjNmNzNlN2MwMTAx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2473209a-f004-4a10-82f2-3050dd74ce3b&quot;,&quot;properties&quot;:{&quot;noteIndex&quot;:0},&quot;isEdited&quot;:false,&quot;manualOverride&quot;:{&quot;citeprocText&quot;:&quot;(Kuźmińska et al., 2021)&quot;,&quot;isManuallyOverridden&quot;:false,&quot;manualOverrideText&quot;:&quot;&quot;},&quot;citationTag&quot;:&quot;MENDELEY_CITATION_v3_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&quot;,&quot;citationItems&quot;:[{&quot;id&quot;:&quot;f0bae71f-9dd1-5237-8081-a0b7c141a8fe&quot;,&quot;itemData&quot;:{&quot;DOI&quot;:&quot;10.1016/j.ijpharm.2021.120305&quot;,&quot;ISSN&quot;:&quot;18733476&quot;,&quot;PMID&quot;:&quot;33540022&quot;,&quot;abstract&quot;:&quot;In an era moving towards digital health, 3D printing has successfully proven its applicability in providing personalised medicine through a technology-based approach. Among the different 3D printing techniques, direct extrusion 3D printing has been demonstrated as a promising approach for on demand manufacturing of solid dosage forms. However, it usually requires the use of elevated temperatures and/or the incorporation of an evaporable solvent (usually water). This can implicate the addition of a drying step, which may compromise the integrity of moisture- or temperature-sensitive drugs, and open the door for additional quality control challenges. Here, we demonstrate a new approach that simplifies direct extrusion 3D printing process with the elimination of the post-printing drying step, by merely adding a fatty glyceride, glyceryl monostearate (GMS), to a model drug (theophylline) and permeable water insoluble methacrylate polymers (Eudragit RL and RS). Indeed, rheological studies indicated that the addition of a combination of a plasticiser, (triethyl citrate), and GMS to theophylline: methacrylate polymer blends significantly reduced the extensional viscosity (to &lt;2.5 kPa·Sec) at 90 °C. Interestingly, GMS demonstrated a dual temperature-dependant behaviour by acting both as a plasticiser and a lubricant at printing temperature (90–110 °C), while aiding solidification at room temperature. X-ray powder diffraction indicated incomplete miscibility of GMS within the polymeric matrix at room temperature with the presence of a subtle diffraction peak, at 2(Θ) = 20°. The 3D printed tablets showed acceptable compendial weight and content uniformity as well as sufficient mechanical resistance. In vitro theophylline release from 3D printed tablets was dependant on Eudragit RL:RS ratio. All in all, this work contributes to the efforts of developing a simplified, facile and low-cost 3D printing for small batch manufacturing of bespoke tablets that circumvents the use of high temperature and post-manufacturing drying step.&quot;,&quot;author&quot;:[{&quot;dropping-particle&quot;:&quot;&quot;,&quot;family&quot;:&quot;Kuźmińska&quot;,&quot;given&quot;:&quot;Magdalena&quot;,&quot;non-dropping-particle&quot;:&quot;&quot;,&quot;parse-names&quot;:false,&quot;suffix&quot;:&quot;&quot;},{&quot;dropping-particle&quot;:&quot;&quot;,&quot;family&quot;:&quot;Pereira&quot;,&quot;given&quot;:&quot;Beatriz C.&quot;,&quot;non-dropping-particle&quot;:&quot;&quot;,&quot;parse-names&quot;:false,&quot;suffix&quot;:&quot;&quot;},{&quot;dropping-particle&quot;:&quot;&quot;,&quot;family&quot;:&quot;Habashy&quot;,&quot;given&quot;:&quot;Rober&quot;,&quot;non-dropping-particle&quot;:&quot;&quot;,&quot;parse-names&quot;:false,&quot;suffix&quot;:&quot;&quot;},{&quot;dropping-particle&quot;:&quot;&quot;,&quot;family&quot;:&quot;Peak&quot;,&quot;given&quot;:&quot;Matthew&quot;,&quot;non-dropping-particle&quot;:&quot;&quot;,&quot;parse-names&quot;:false,&quot;suffix&quot;:&quot;&quot;},{&quot;dropping-particle&quot;:&quot;&quot;,&quot;family&quot;:&quot;Isreb&quot;,&quot;given&quot;:&quot;Mohammad&quot;,&quot;non-dropping-particle&quot;:&quot;&quot;,&quot;parse-names&quot;:false,&quot;suffix&quot;:&quot;&quot;},{&quot;dropping-particle&quot;:&quot;&quot;,&quot;family&quot;:&quot;Gough&quot;,&quot;given&quot;:&quot;Tim D.&quot;,&quot;non-dropping-particle&quot;:&quot;&quot;,&quot;parse-names&quot;:false,&quot;suffix&quot;:&quot;&quot;},{&quot;dropping-particle&quot;:&quot;&quot;,&quot;family&quot;:&quot;Isreb&quot;,&quot;given&quot;:&quot;Abdullah&quot;,&quot;non-dropping-particle&quot;:&quot;&quot;,&quot;parse-names&quot;:false,&quot;suffix&quot;:&quot;&quot;},{&quot;dropping-particle&quot;:&quot;&quot;,&quot;family&quot;:&quot;Alhnan&quot;,&quot;given&quot;:&quot;Mohamed A.&quot;,&quot;non-dropping-particle&quot;:&quot;&quot;,&quot;parse-names&quot;:false,&quot;suffix&quot;:&quot;&quot;}],&quot;container-title&quot;:&quot;International Journal of Pharmaceutics&quot;,&quot;id&quot;:&quot;f0bae71f-9dd1-5237-8081-a0b7c141a8fe&quot;,&quot;issue&quot;:&quot;October 2020&quot;,&quot;issued&quot;:{&quot;date-parts&quot;:[[&quot;2021&quot;]]},&quot;page&quot;:&quot;1-9&quot;,&quot;title&quot;:&quot;Solvent-free temperature-facilitated direct extrusion 3D printing for pharmaceuticals&quot;,&quot;type&quot;:&quot;article-journal&quot;,&quot;volume&quot;:&quot;598&quot;,&quot;container-title-short&quot;:&quot;&quot;},&quot;uris&quot;:[&quot;http://www.mendeley.com/documents/?uuid=4c517bbf-b106-4661-ba1f-ceb2c1dfa5eb&quot;],&quot;isTemporary&quot;:false,&quot;legacyDesktopId&quot;:&quot;4c517bbf-b106-4661-ba1f-ceb2c1dfa5eb&quot;}]},{&quot;citationID&quot;:&quot;MENDELEY_CITATION_34f9616e-18ad-4ccc-bdba-97386e081b1a&quot;,&quot;properties&quot;:{&quot;noteIndex&quot;:0},&quot;isEdited&quot;:false,&quot;manualOverride&quot;:{&quot;citeprocText&quot;:&quot;(Stato, n.d.)&quot;,&quot;isManuallyOverridden&quot;:false,&quot;manualOverrideText&quot;:&quot;&quot;},&quot;citationTag&quot;:&quot;MENDELEY_CITATION_v3_eyJjaXRhdGlvbklEIjoiTUVOREVMRVlfQ0lUQVRJT05fMzRmOTYxNmUtMThhZC00Y2NjLWJkYmEtOTczODZlMDgxYjFh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970b91e9-67a0-44c2-89dd-4dbd3e176c17&quot;,&quot;properties&quot;:{&quot;noteIndex&quot;:0},&quot;isEdited&quot;:false,&quot;manualOverride&quot;:{&quot;citeprocText&quot;:&quot;(Xi et al., 2020)&quot;,&quot;isManuallyOverridden&quot;:false,&quot;manualOverrideText&quot;:&quot;&quot;},&quot;citationTag&quot;:&quot;MENDELEY_CITATION_v3_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&quot;,&quot;citationItems&quot;:[{&quot;id&quot;:&quot;c5a2a434-a16a-5b26-9e3c-6c6efe9fde38&quot;,&quot;itemData&quot;:{&quot;DOI&quot;:&quot;10.1007/s11095-020-2772-7&quot;,&quot;ISSN&quot;:&quot;1573904X&quot;,&quot;PMID&quot;:&quot;32185516&quot;,&quot;abstract&quot;:&quot;Purpose: While including amorphous solid dispersion (ASD) in tablet formulations is increasingly common, tablets containing high ASD loading are associated with slow disintegration, which presents a challenge to control pill burden for less potent compounds. Methods: We use a model ASD, composed of a hydrophobic drug with copovidone and a non-ionic surfactant, to explore formulation options that can prevent slow disintegration. Results: In addition to the ASD loading, the pH of the disintegration medium and the inclusion of inorganic salts in the tablet also have an impact on the tablet disintegration time. Certain kosmotropic salts, when added in the formulation, can significantly accelerate tablet disintegration, though the rank order in their effectiveness does not exactly follow the Hofmeister series at pH 1.8. The particle size and dissolution rate of the salt can contribute to its overall effectiveness. Conclusion: We provided a mechanistic explanation of the disintegration process: fast-dissolving kosmotropic salt results in a concentrated salt solution inside the restrained tablet matrix, thus inhibiting the dissolution of copovidone and preventing polymer gelling which is the main cause leading the slow disintegration. The outcome of this study has enabled the design of a higher ASD loading platform formulation for copovidone based ASD. [Figure not available: see fulltext.].&quot;,&quot;author&quot;:[{&quot;dropping-particle&quot;:&quot;&quot;,&quot;family&quot;:&quot;Xi&quot;,&quot;given&quot;:&quot;Hanmi&quot;,&quot;non-dropping-particle&quot;:&quot;&quot;,&quot;parse-names&quot;:false,&quot;suffix&quot;:&quot;&quot;},{&quot;dropping-particle&quot;:&quot;&quot;,&quot;family&quot;:&quot;Ren&quot;,&quot;given&quot;:&quot;Jie&quot;,&quot;non-dropping-particle&quot;:&quot;&quot;,&quot;parse-names&quot;:false,&quot;suffix&quot;:&quot;&quot;},{&quot;dropping-particle&quot;:&quot;&quot;,&quot;family&quot;:&quot;Novak&quot;,&quot;given&quot;:&quot;Julie M.&quot;,&quot;non-dropping-particle&quot;:&quot;&quot;,&quot;parse-names&quot;:false,&quot;suffix&quot;:&quot;&quot;},{&quot;dropping-particle&quot;:&quot;&quot;,&quot;family&quot;:&quot;Kemp&quot;,&quot;given&quot;:&quot;Eric&quot;,&quot;non-dropping-particle&quot;:&quot;&quot;,&quot;parse-names&quot;:false,&quot;suffix&quot;:&quot;&quot;},{&quot;dropping-particle&quot;:&quot;&quot;,&quot;family&quot;:&quot;Johnson&quot;,&quot;given&quot;:&quot;Gregory&quot;,&quot;non-dropping-particle&quot;:&quot;&quot;,&quot;parse-names&quot;:false,&quot;suffix&quot;:&quot;&quot;},{&quot;dropping-particle&quot;:&quot;&quot;,&quot;family&quot;:&quot;Klinzing&quot;,&quot;given&quot;:&quot;Gerard&quot;,&quot;non-dropping-particle&quot;:&quot;&quot;,&quot;parse-names&quot;:false,&quot;suffix&quot;:&quot;&quot;},{&quot;dropping-particle&quot;:&quot;&quot;,&quot;family&quot;:&quot;Johnson&quot;,&quot;given&quot;:&quot;Mary Ann&quot;,&quot;non-dropping-particle&quot;:&quot;&quot;,&quot;parse-names&quot;:false,&quot;suffix&quot;:&quot;&quot;},{&quot;dropping-particle&quot;:&quot;&quot;,&quot;family&quot;:&quot;Xu&quot;,&quot;given&quot;:&quot;Wei&quot;,&quot;non-dropping-particle&quot;:&quot;&quot;,&quot;parse-names&quot;:false,&quot;suffix&quot;:&quot;&quot;}],&quot;container-title&quot;:&quot;Pharmaceutical Research&quot;,&quot;id&quot;:&quot;c5a2a434-a16a-5b26-9e3c-6c6efe9fde38&quot;,&quot;issue&quot;:&quot;4&quot;,&quot;issued&quot;:{&quot;date-parts&quot;:[[&quot;2020&quot;]]},&quot;title&quot;:&quot;The Effect of Inorganic Salt on Disintegration of Tablets with High Loading of Amorphous Solid Dispersion Containing Copovidone&quot;,&quot;type&quot;:&quot;article-journal&quot;,&quot;volume&quot;:&quot;37&quot;,&quot;container-title-short&quot;:&quot;&quot;},&quot;uris&quot;:[&quot;http://www.mendeley.com/documents/?uuid=3a1ff67d-2b78-4c2f-9aee-0c53445a0cab&quot;],&quot;isTemporary&quot;:false,&quot;legacyDesktopId&quot;:&quot;3a1ff67d-2b78-4c2f-9aee-0c53445a0cab&quot;}]},{&quot;citationID&quot;:&quot;MENDELEY_CITATION_3599ab14-3d61-4edd-bb70-65f9da118c78&quot;,&quot;properties&quot;:{&quot;noteIndex&quot;:0},&quot;isEdited&quot;:false,&quot;manualOverride&quot;:{&quot;citeprocText&quot;:&quot;(Maroni et al., 2016; Siepmann and Peppas, 2012)&quot;,&quot;isManuallyOverridden&quot;:false,&quot;manualOverrideText&quot;:&quot;&quot;},&quot;citationTag&quot;:&quot;MENDELEY_CITATION_v3_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&quot;,&quot;citationItems&quot;:[{&quot;id&quot;:&quot;96e1e666-ce0b-59ad-ad28-5f9a16f53a57&quot;,&quot;itemData&quot;:{&quot;DOI&quot;:&quot;10.1016/j.jddst.2015.10.001&quot;,&quot;ISSN&quot;:&quot;17732247&quot;,&quot;abstract&quot;:&quot;In oral delivery, lag phases of programmable duration that precede drug release may be advantageous in a number of instances, e.g. to meet chronotherapeutic needs or pursue colonic delivery. Systems that give rise to characteristic lag phases in their release profiles, i.e. intended for time-controlled release, are generally composed of a drug-containing core and a functional polymeric barrier. According to the nature of the polymer, the latter may delay the onset of drug release by acting as a rupturable, permeable or erodible boundary layer. Erodible systems are mostly based on water swellable polymers, such as hydrophilic cellulose ethers, and the release of the incorporated drug is deferred through the progressive hydration and erosion of the polymeric barrier upon contact with aqueous fluids. The extent of delay depends on the employed polymer, particularly on its viscosity grade, and on the thickness of the layer applied. The manufacturing technique may also have an impact on the performance of such systems. Double-compression and spray-coating have mainly been used, resulting in differing technical issues and release outcomes. In this article, an update on delivery systems based on erodible polymer barriers (coatings, shells) for time-controlled release is presented.&quot;,&quot;author&quot;:[{&quot;dropping-particle&quot;:&quot;&quot;,&quot;family&quot;:&quot;Maroni&quot;,&quot;given&quot;:&quot;Alessandra&quot;,&quot;non-dropping-particle&quot;:&quot;&quot;,&quot;parse-names&quot;:false,&quot;suffix&quot;:&quot;&quot;},{&quot;dropping-particle&quot;:&quot;&quot;,&quot;family&quot;:&quot;Zema&quot;,&quot;given&quot;:&quot;Lucia&quot;,&quot;non-dropping-particle&quot;:&quot;&quot;,&quot;parse-names&quot;:false,&quot;suffix&quot;:&quot;&quot;},{&quot;dropping-particle&quot;:&quot;&quot;,&quot;family&quot;:&quot;Cerea&quot;,&quot;given&quot;:&quot;Matteo&quot;,&quot;non-dropping-particle&quot;:&quot;&quot;,&quot;parse-names&quot;:false,&quot;suffix&quot;:&quot;&quot;},{&quot;dropping-particle&quot;:&quot;&quot;,&quot;family&quot;:&quot;Foppoli&quot;,&quot;given&quot;:&quot;Anastasia&quot;,&quot;non-dropping-particle&quot;:&quot;&quot;,&quot;parse-names&quot;:false,&quot;suffix&quot;:&quot;&quot;},{&quot;dropping-particle&quot;:&quot;&quot;,&quot;family&quot;:&quot;Palugan&quot;,&quot;given&quot;:&quot;Luca&quot;,&quot;non-dropping-particle&quot;:&quot;&quot;,&quot;parse-names&quot;:false,&quot;suffix&quot;:&quot;&quot;},{&quot;dropping-particle&quot;:&quot;&quot;,&quot;family&quot;:&quot;Gazzaniga&quot;,&quot;given&quot;:&quot;Andrea&quot;,&quot;non-dropping-particle&quot;:&quot;&quot;,&quot;parse-names&quot;:false,&quot;suffix&quot;:&quot;&quot;}],&quot;container-title&quot;:&quot;Journal of Drug Delivery Science and Technology&quot;,&quot;id&quot;:&quot;96e1e666-ce0b-59ad-ad28-5f9a16f53a57&quot;,&quot;issued&quot;:{&quot;date-parts&quot;:[[&quot;2016&quot;]]},&quot;page&quot;:&quot;229-235&quot;,&quot;publisher&quot;:&quot;Elsevier Ltd&quot;,&quot;title&quot;:&quot;Erodible drug delivery systems for time-controlled release into the gastrointestinal tract&quot;,&quot;type&quot;:&quot;article-journal&quot;,&quot;volume&quot;:&quot;32&quot;,&quot;container-title-short&quot;:&quot;&quot;},&quot;uris&quot;:[&quot;http://www.mendeley.com/documents/?uuid=b30af4a2-64bc-453e-96cd-fd1cfaa2d1dd&quot;],&quot;isTemporary&quot;:false,&quot;legacyDesktopId&quot;:&quot;b30af4a2-64bc-453e-96cd-fd1cfaa2d1dd&quot;},{&quot;id&quot;:&quot;286408f7-32cf-576c-a86b-676fc4d2f456&quot;,&quot;itemData&quot;:{&quot;DOI&quot;:&quot;10.1016/j.addr.2012.09.028&quot;,&quot;ISSN&quot;:&quot;0169409X&quot;,&quot;abstract&quot;:&quot;The objective of this article is to review the spectrum of mathematical models that have been developed to describe drug release from hydroxypropyl methylcellulose (HPMC)-based pharmaceutical devices. The major advantages of these models are: (i) the elucidation of the underlying mass transport mechanisms; and (ii) the possibility to predict the effect of the device design parameters (e.g., shape, size and composition of HPMC-based matrix tablets) on the resulting drug release rate, thus facilitating the development of new pharmaceutical products. Simple empirical or semi-empirical models such as the classical Higuchi equation and the so-called power law, as well as more complex mechanistic theories that consider diffusion, swelling and dissolution processes simultaneously are presented, and their advantages and limitations are discussed. Various examples of practical applications to experimental drug release data are given. The choice of the appropriate mathematical model when developing new pharmaceutical products or elucidating drug release mechanisms strongly depends on the desired or required predictive ability and accuracy of the model. In many cases, the use of a simple empirical or semi-empirical model is fully sufficient. However, when reliable, detailed information are required, more complex, mechanistic theories must be applied. The present article is a comprehensive review of the current state of the art of mathematical modeling drug release from HPMC-based delivery systems and discusses the crucial points of the most important theories. © 2012.&quot;,&quot;author&quot;:[{&quot;dropping-particle&quot;:&quot;&quot;,&quot;family&quot;:&quot;Siepmann&quot;,&quot;given&quot;:&quot;J.&quot;,&quot;non-dropping-particle&quot;:&quot;&quot;,&quot;parse-names&quot;:false,&quot;suffix&quot;:&quot;&quot;},{&quot;dropping-particle&quot;:&quot;&quot;,&quot;family&quot;:&quot;Peppas&quot;,&quot;given&quot;:&quot;N. A.&quot;,&quot;non-dropping-particle&quot;:&quot;&quot;,&quot;parse-names&quot;:false,&quot;suffix&quot;:&quot;&quot;}],&quot;container-title&quot;:&quot;Advanced Drug Delivery Reviews&quot;,&quot;id&quot;:&quot;286408f7-32cf-576c-a86b-676fc4d2f456&quot;,&quot;issue&quot;:&quot;SUPPL.&quot;,&quot;issued&quot;:{&quot;date-parts&quot;:[[&quot;2012&quot;]]},&quot;page&quot;:&quot;163-174&quot;,&quot;title&quot;:&quot;Modeling of drug release from delivery systems based on hydroxypropyl methylcellulose (HPMC)&quot;,&quot;type&quot;:&quot;article-journal&quot;,&quot;volume&quot;:&quot;64&quot;,&quot;container-title-short&quot;:&quot;&quot;},&quot;uris&quot;:[&quot;http://www.mendeley.com/documents/?uuid=806aca85-ea7f-4b82-b5d5-c4536298136b&quot;],&quot;isTemporary&quot;:false,&quot;legacyDesktopId&quot;:&quot;806aca85-ea7f-4b82-b5d5-c4536298136b&quot;}]},{&quot;citationID&quot;:&quot;MENDELEY_CITATION_143a9e5e-c607-4b56-a1e9-86dec2892204&quot;,&quot;properties&quot;:{&quot;noteIndex&quot;:0},&quot;isEdited&quot;:false,&quot;manualOverride&quot;:{&quot;citeprocText&quot;:&quot;(Maroni et al., 2016)&quot;,&quot;isManuallyOverridden&quot;:false,&quot;manualOverrideText&quot;:&quot;&quot;},&quot;citationTag&quot;:&quot;MENDELEY_CITATION_v3_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&quot;,&quot;citationItems&quot;:[{&quot;id&quot;:&quot;96e1e666-ce0b-59ad-ad28-5f9a16f53a57&quot;,&quot;itemData&quot;:{&quot;DOI&quot;:&quot;10.1016/j.jddst.2015.10.001&quot;,&quot;ISSN&quot;:&quot;17732247&quot;,&quot;abstract&quot;:&quot;In oral delivery, lag phases of programmable duration that precede drug release may be advantageous in a number of instances, e.g. to meet chronotherapeutic needs or pursue colonic delivery. Systems that give rise to characteristic lag phases in their release profiles, i.e. intended for time-controlled release, are generally composed of a drug-containing core and a functional polymeric barrier. According to the nature of the polymer, the latter may delay the onset of drug release by acting as a rupturable, permeable or erodible boundary layer. Erodible systems are mostly based on water swellable polymers, such as hydrophilic cellulose ethers, and the release of the incorporated drug is deferred through the progressive hydration and erosion of the polymeric barrier upon contact with aqueous fluids. The extent of delay depends on the employed polymer, particularly on its viscosity grade, and on the thickness of the layer applied. The manufacturing technique may also have an impact on the performance of such systems. Double-compression and spray-coating have mainly been used, resulting in differing technical issues and release outcomes. In this article, an update on delivery systems based on erodible polymer barriers (coatings, shells) for time-controlled release is presented.&quot;,&quot;author&quot;:[{&quot;dropping-particle&quot;:&quot;&quot;,&quot;family&quot;:&quot;Maroni&quot;,&quot;given&quot;:&quot;Alessandra&quot;,&quot;non-dropping-particle&quot;:&quot;&quot;,&quot;parse-names&quot;:false,&quot;suffix&quot;:&quot;&quot;},{&quot;dropping-particle&quot;:&quot;&quot;,&quot;family&quot;:&quot;Zema&quot;,&quot;given&quot;:&quot;Lucia&quot;,&quot;non-dropping-particle&quot;:&quot;&quot;,&quot;parse-names&quot;:false,&quot;suffix&quot;:&quot;&quot;},{&quot;dropping-particle&quot;:&quot;&quot;,&quot;family&quot;:&quot;Cerea&quot;,&quot;given&quot;:&quot;Matteo&quot;,&quot;non-dropping-particle&quot;:&quot;&quot;,&quot;parse-names&quot;:false,&quot;suffix&quot;:&quot;&quot;},{&quot;dropping-particle&quot;:&quot;&quot;,&quot;family&quot;:&quot;Foppoli&quot;,&quot;given&quot;:&quot;Anastasia&quot;,&quot;non-dropping-particle&quot;:&quot;&quot;,&quot;parse-names&quot;:false,&quot;suffix&quot;:&quot;&quot;},{&quot;dropping-particle&quot;:&quot;&quot;,&quot;family&quot;:&quot;Palugan&quot;,&quot;given&quot;:&quot;Luca&quot;,&quot;non-dropping-particle&quot;:&quot;&quot;,&quot;parse-names&quot;:false,&quot;suffix&quot;:&quot;&quot;},{&quot;dropping-particle&quot;:&quot;&quot;,&quot;family&quot;:&quot;Gazzaniga&quot;,&quot;given&quot;:&quot;Andrea&quot;,&quot;non-dropping-particle&quot;:&quot;&quot;,&quot;parse-names&quot;:false,&quot;suffix&quot;:&quot;&quot;}],&quot;container-title&quot;:&quot;Journal of Drug Delivery Science and Technology&quot;,&quot;id&quot;:&quot;96e1e666-ce0b-59ad-ad28-5f9a16f53a57&quot;,&quot;issued&quot;:{&quot;date-parts&quot;:[[&quot;2016&quot;]]},&quot;page&quot;:&quot;229-235&quot;,&quot;publisher&quot;:&quot;Elsevier Ltd&quot;,&quot;title&quot;:&quot;Erodible drug delivery systems for time-controlled release into the gastrointestinal tract&quot;,&quot;type&quot;:&quot;article-journal&quot;,&quot;volume&quot;:&quot;32&quot;,&quot;container-title-short&quot;:&quot;&quot;},&quot;uris&quot;:[&quot;http://www.mendeley.com/documents/?uuid=b30af4a2-64bc-453e-96cd-fd1cfaa2d1dd&quot;],&quot;isTemporary&quot;:false,&quot;legacyDesktopId&quot;:&quot;b30af4a2-64bc-453e-96cd-fd1cfaa2d1dd&quot;}]},{&quot;citationID&quot;:&quot;MENDELEY_CITATION_56d45864-d6d4-4a45-b6d6-8d347d4ceae2&quot;,&quot;properties&quot;:{&quot;noteIndex&quot;:0},&quot;isEdited&quot;:false,&quot;manualOverride&quot;:{&quot;citeprocText&quot;:&quot;(Pistone et al., 2022)&quot;,&quot;isManuallyOverridden&quot;:false,&quot;manualOverrideText&quot;:&quot;&quot;},&quot;citationTag&quot;:&quot;MENDELEY_CITATION_v3_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SaXp6aSIsImdpdmVuIjoiUm9zYW5uYS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e45ccb5b-35da-437b-8b26-b40344c6acfe&quot;,&quot;properties&quot;:{&quot;noteIndex&quot;:0},&quot;isEdited&quot;:false,&quot;manualOverride&quot;:{&quot;citeprocText&quot;:&quot;(Kajiyama et al., 2008)&quot;,&quot;isManuallyOverridden&quot;:false,&quot;manualOverrideText&quot;:&quot;&quot;},&quot;citationTag&quot;:&quot;MENDELEY_CITATION_v3_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&quot;,&quot;citationItems&quot;:[{&quot;id&quot;:&quot;356b35bf-be04-5968-91ba-da27a98824a8&quot;,&quot;itemData&quot;:{&quot;DOI&quot;:&quot;10.1248/cpb.56.598&quot;,&quot;ISSN&quot;:&quot;00092363&quot;,&quot;PMID&quot;:&quot;18379117&quot;,&quot;abstract&quot;:&quot;Effects of inorganic salts on disintegration of hydroxypropylmethylcellulose (HPMC) matrix tablets have been studied. Adding disintegrants, such as Ac-di-sol® , Primojel® , Kolidon-CL® , or low substituted hydroxypropylcellulose (L-HPC®) to HPMC matrix tablets had no effect on disintegration property. Disintegration time was improved by adding NaHCO3, KH2PO4, K2SO4, KCl, or NaCl to the HPMC tablets as tablet components. On the other hand, addition of Na2CO3, or Na2SO4 to the tablets showed no improvement of disintegration. The heat of dissolution of inorganic salts that improved disintegration of tablets was endothermic, while that of inorganic salts that did not improve disintegration of tablets was exothermic. These results suggested that the thermal environment and ionic strength inside the tablet might affect the disintegration of HPMC matrix tablets. © 2008 Pharmaceutical Society of Japan.&quot;,&quot;author&quot;:[{&quot;dropping-particle&quot;:&quot;&quot;,&quot;family&quot;:&quot;Kajiyama&quot;,&quot;given&quot;:&quot;Atsushi&quot;,&quot;non-dropping-particle&quot;:&quot;&quot;,&quot;parse-names&quot;:false,&quot;suffix&quot;:&quot;&quot;},{&quot;dropping-particle&quot;:&quot;&quot;,&quot;family&quot;:&quot;Takagi&quot;,&quot;given&quot;:&quot;Hirokazu&quot;,&quot;non-dropping-particle&quot;:&quot;&quot;,&quot;parse-names&quot;:false,&quot;suffix&quot;:&quot;&quot;},{&quot;dropping-particle&quot;:&quot;&quot;,&quot;family&quot;:&quot;Moribe&quot;,&quot;given&quot;:&quot;Kunikazu&quot;,&quot;non-dropping-particle&quot;:&quot;&quot;,&quot;parse-names&quot;:false,&quot;suffix&quot;:&quot;&quot;},{&quot;dropping-particle&quot;:&quot;&quot;,&quot;family&quot;:&quot;Yamamoto&quot;,&quot;given&quot;:&quot;Keiji&quot;,&quot;non-dropping-particle&quot;:&quot;&quot;,&quot;parse-names&quot;:false,&quot;suffix&quot;:&quot;&quot;}],&quot;container-title&quot;:&quot;Chemical and Pharmaceutical Bulletin&quot;,&quot;id&quot;:&quot;356b35bf-be04-5968-91ba-da27a98824a8&quot;,&quot;issue&quot;:&quot;4&quot;,&quot;issued&quot;:{&quot;date-parts&quot;:[[&quot;2008&quot;]]},&quot;page&quot;:&quot;598-601&quot;,&quot;title&quot;:&quot;Improvement of HPMC tablet disintegration by the addition of inorganic salts&quot;,&quot;type&quot;:&quot;article-journal&quot;,&quot;volume&quot;:&quot;56&quot;,&quot;container-title-short&quot;:&quot;&quot;},&quot;uris&quot;:[&quot;http://www.mendeley.com/documents/?uuid=8a4dab68-186d-430d-b1ce-55a0a85df458&quot;],&quot;isTemporary&quot;:false,&quot;legacyDesktopId&quot;:&quot;8a4dab68-186d-430d-b1ce-55a0a85df458&quot;}]},{&quot;citationID&quot;:&quot;MENDELEY_CITATION_a15a2720-b061-4ed2-ad5a-4ff790e36281&quot;,&quot;properties&quot;:{&quot;noteIndex&quot;:0},&quot;isEdited&quot;:false,&quot;manualOverride&quot;:{&quot;citeprocText&quot;:&quot;(Takano et al., 2020)&quot;,&quot;isManuallyOverridden&quot;:false,&quot;manualOverrideText&quot;:&quot;&quot;},&quot;citationTag&quot;:&quot;MENDELEY_CITATION_v3_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&quot;,&quot;citationItems&quot;:[{&quot;id&quot;:&quot;38bf1da6-3659-5cb7-8f67-03f67ad0b00a&quot;,&quot;itemData&quot;:{&quot;DOI&quot;:&quot;10.1021/acs.molpharmaceut.9b01109&quot;,&quot;ISSN&quot;:&quot;15438392&quot;,&quot;PMID&quot;:&quot;31794228&quot;,&quot;abstract&quot;:&quot;Amorphous solid dispersions (ASD) are increasingly used to improve the oral bioavailability of poorly water-soluble compounds. However, hydrophilic polymers in ASD have high water-binding properties and, upon water contact, they often form a gel on the surface of the tablet, impacting the rate and extent of drug release. Most inorganic salts decrease water solubility of organic solutes, changing the gel properties of hydrophilic polymers. In this study, the effect of inorganic salts on drug release from a tablet formulation containing an itraconazole (ITZ)-hydroxypropyl methyl cellulose (HPMC) extrudate was investigated. The cloud point of a 1% HPMC solution with and without inorganic salts (KCl, KH2PO4, KHCO3, and potassium iodate (KI)) was determined to classify the salts according to their salting-out or salting-in effect. A kosmotropic effect on HPMC was observed for KCl, KH2PO4, and KHCO3, whereas KI exhibited a chaotropic effect. To prove the effect of these salts on drug release, tablets containing 66% of ITZ-HPMC extrudate (20:80 w/w %), 4% croscarmellose sodium, 30% microcrystalline cellulose, and different types and amounts of KHCO3, KH2PO4, KCl, and KI were compressed (same solid fraction of 0.83-0.85). Tablets without salts showed a slow release and low peak concentrations during dissolution in simulated gastric fluids. By adding the kosmotropic salts to the tablets, the rate and extent of drug release were increased, whereas the chaotropic anion iodide had no effect. The effect was pronounced even with the addition of as little as 2% of inorganic salts and tended to increase with the increasing amount of salt in the formulation. Tablets without salt stored under either dry or humid conditions exhibited a large difference in dissolution profiles, whereas little variation was observed for tablets with kosmotropic salts. In conclusion, the effect of inorganic salts was mechanistically clarified on ASD containing commonly used HPMC. This approach can be beneficial to successfully develop robust formulations containing ASD.&quot;,&quot;author&quot;:[{&quot;dropping-particle&quot;:&quot;&quot;,&quot;family&quot;:&quot;Takano&quot;,&quot;given&quot;:&quot;Ryusuke&quot;,&quot;non-dropping-particle&quot;:&quot;&quot;,&quot;parse-names&quot;:false,&quot;suffix&quot;:&quot;&quot;},{&quot;dropping-particle&quot;:&quot;&quot;,&quot;family&quot;:&quot;Maurer&quot;,&quot;given&quot;:&quot;Reto&quot;,&quot;non-dropping-particle&quot;:&quot;&quot;,&quot;parse-names&quot;:false,&quot;suffix&quot;:&quot;&quot;},{&quot;dropping-particle&quot;:&quot;&quot;,&quot;family&quot;:&quot;Jacob&quot;,&quot;given&quot;:&quot;Laurence&quot;,&quot;non-dropping-particle&quot;:&quot;&quot;,&quot;parse-names&quot;:false,&quot;suffix&quot;:&quot;&quot;},{&quot;dropping-particle&quot;:&quot;&quot;,&quot;family&quot;:&quot;Stowasser&quot;,&quot;given&quot;:&quot;Frank&quot;,&quot;non-dropping-particle&quot;:&quot;&quot;,&quot;parse-names&quot;:false,&quot;suffix&quot;:&quot;&quot;},{&quot;dropping-particle&quot;:&quot;&quot;,&quot;family&quot;:&quot;Stillhart&quot;,&quot;given&quot;:&quot;Cordula&quot;,&quot;non-dropping-particle&quot;:&quot;&quot;,&quot;parse-names&quot;:false,&quot;suffix&quot;:&quot;&quot;},{&quot;dropping-particle&quot;:&quot;&quot;,&quot;family&quot;:&quot;Page&quot;,&quot;given&quot;:&quot;Susanne&quot;,&quot;non-dropping-particle&quot;:&quot;&quot;,&quot;parse-names&quot;:false,&quot;suffix&quot;:&quot;&quot;}],&quot;container-title&quot;:&quot;Molecular Pharmaceutics&quot;,&quot;id&quot;:&quot;38bf1da6-3659-5cb7-8f67-03f67ad0b00a&quot;,&quot;issue&quot;:&quot;8&quot;,&quot;issued&quot;:{&quot;date-parts&quot;:[[&quot;2020&quot;]]},&quot;page&quot;:&quot;2768-2778&quot;,&quot;title&quot;:&quot;Formulating Amorphous Solid Dispersions: Impact of Inorganic Salts on Drug Release from Tablets Containing Itraconazole-HPMC Extrudate&quot;,&quot;type&quot;:&quot;article-journal&quot;,&quot;volume&quot;:&quot;17&quot;,&quot;container-title-short&quot;:&quot;&quot;},&quot;uris&quot;:[&quot;http://www.mendeley.com/documents/?uuid=544d561b-ad4a-441b-a71c-f0c63d0a9e8a&quot;],&quot;isTemporary&quot;:false,&quot;legacyDesktopId&quot;:&quot;544d561b-ad4a-441b-a71c-f0c63d0a9e8a&quot;}]},{&quot;citationID&quot;:&quot;MENDELEY_CITATION_e5c52d1a-72f3-4dc5-b998-9de388e0f871&quot;,&quot;properties&quot;:{&quot;noteIndex&quot;:0},&quot;isEdited&quot;:false,&quot;manualOverride&quot;:{&quot;citeprocText&quot;:&quot;(Takano et al., 2020)&quot;,&quot;isManuallyOverridden&quot;:false,&quot;manualOverrideText&quot;:&quot;&quot;},&quot;citationTag&quot;:&quot;MENDELEY_CITATION_v3_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&quot;,&quot;citationItems&quot;:[{&quot;id&quot;:&quot;38bf1da6-3659-5cb7-8f67-03f67ad0b00a&quot;,&quot;itemData&quot;:{&quot;DOI&quot;:&quot;10.1021/acs.molpharmaceut.9b01109&quot;,&quot;ISSN&quot;:&quot;15438392&quot;,&quot;PMID&quot;:&quot;31794228&quot;,&quot;abstract&quot;:&quot;Amorphous solid dispersions (ASD) are increasingly used to improve the oral bioavailability of poorly water-soluble compounds. However, hydrophilic polymers in ASD have high water-binding properties and, upon water contact, they often form a gel on the surface of the tablet, impacting the rate and extent of drug release. Most inorganic salts decrease water solubility of organic solutes, changing the gel properties of hydrophilic polymers. In this study, the effect of inorganic salts on drug release from a tablet formulation containing an itraconazole (ITZ)-hydroxypropyl methyl cellulose (HPMC) extrudate was investigated. The cloud point of a 1% HPMC solution with and without inorganic salts (KCl, KH2PO4, KHCO3, and potassium iodate (KI)) was determined to classify the salts according to their salting-out or salting-in effect. A kosmotropic effect on HPMC was observed for KCl, KH2PO4, and KHCO3, whereas KI exhibited a chaotropic effect. To prove the effect of these salts on drug release, tablets containing 66% of ITZ-HPMC extrudate (20:80 w/w %), 4% croscarmellose sodium, 30% microcrystalline cellulose, and different types and amounts of KHCO3, KH2PO4, KCl, and KI were compressed (same solid fraction of 0.83-0.85). Tablets without salts showed a slow release and low peak concentrations during dissolution in simulated gastric fluids. By adding the kosmotropic salts to the tablets, the rate and extent of drug release were increased, whereas the chaotropic anion iodide had no effect. The effect was pronounced even with the addition of as little as 2% of inorganic salts and tended to increase with the increasing amount of salt in the formulation. Tablets without salt stored under either dry or humid conditions exhibited a large difference in dissolution profiles, whereas little variation was observed for tablets with kosmotropic salts. In conclusion, the effect of inorganic salts was mechanistically clarified on ASD containing commonly used HPMC. This approach can be beneficial to successfully develop robust formulations containing ASD.&quot;,&quot;author&quot;:[{&quot;dropping-particle&quot;:&quot;&quot;,&quot;family&quot;:&quot;Takano&quot;,&quot;given&quot;:&quot;Ryusuke&quot;,&quot;non-dropping-particle&quot;:&quot;&quot;,&quot;parse-names&quot;:false,&quot;suffix&quot;:&quot;&quot;},{&quot;dropping-particle&quot;:&quot;&quot;,&quot;family&quot;:&quot;Maurer&quot;,&quot;given&quot;:&quot;Reto&quot;,&quot;non-dropping-particle&quot;:&quot;&quot;,&quot;parse-names&quot;:false,&quot;suffix&quot;:&quot;&quot;},{&quot;dropping-particle&quot;:&quot;&quot;,&quot;family&quot;:&quot;Jacob&quot;,&quot;given&quot;:&quot;Laurence&quot;,&quot;non-dropping-particle&quot;:&quot;&quot;,&quot;parse-names&quot;:false,&quot;suffix&quot;:&quot;&quot;},{&quot;dropping-particle&quot;:&quot;&quot;,&quot;family&quot;:&quot;Stowasser&quot;,&quot;given&quot;:&quot;Frank&quot;,&quot;non-dropping-particle&quot;:&quot;&quot;,&quot;parse-names&quot;:false,&quot;suffix&quot;:&quot;&quot;},{&quot;dropping-particle&quot;:&quot;&quot;,&quot;family&quot;:&quot;Stillhart&quot;,&quot;given&quot;:&quot;Cordula&quot;,&quot;non-dropping-particle&quot;:&quot;&quot;,&quot;parse-names&quot;:false,&quot;suffix&quot;:&quot;&quot;},{&quot;dropping-particle&quot;:&quot;&quot;,&quot;family&quot;:&quot;Page&quot;,&quot;given&quot;:&quot;Susanne&quot;,&quot;non-dropping-particle&quot;:&quot;&quot;,&quot;parse-names&quot;:false,&quot;suffix&quot;:&quot;&quot;}],&quot;container-title&quot;:&quot;Molecular Pharmaceutics&quot;,&quot;id&quot;:&quot;38bf1da6-3659-5cb7-8f67-03f67ad0b00a&quot;,&quot;issue&quot;:&quot;8&quot;,&quot;issued&quot;:{&quot;date-parts&quot;:[[&quot;2020&quot;]]},&quot;page&quot;:&quot;2768-2778&quot;,&quot;title&quot;:&quot;Formulating Amorphous Solid Dispersions: Impact of Inorganic Salts on Drug Release from Tablets Containing Itraconazole-HPMC Extrudate&quot;,&quot;type&quot;:&quot;article-journal&quot;,&quot;volume&quot;:&quot;17&quot;,&quot;container-title-short&quot;:&quot;&quot;},&quot;uris&quot;:[&quot;http://www.mendeley.com/documents/?uuid=544d561b-ad4a-441b-a71c-f0c63d0a9e8a&quot;],&quot;isTemporary&quot;:false,&quot;legacyDesktopId&quot;:&quot;544d561b-ad4a-441b-a71c-f0c63d0a9e8a&quot;}]},{&quot;citationID&quot;:&quot;MENDELEY_CITATION_e3378387-1c64-4ed5-b477-d8db16dafea1&quot;,&quot;properties&quot;:{&quot;noteIndex&quot;:0},&quot;isEdited&quot;:false,&quot;manualOverride&quot;:{&quot;citeprocText&quot;:&quot;(Xi et al., 2020)&quot;,&quot;isManuallyOverridden&quot;:false,&quot;manualOverrideText&quot;:&quot;&quot;},&quot;citationTag&quot;:&quot;MENDELEY_CITATION_v3_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&quot;,&quot;citationItems&quot;:[{&quot;id&quot;:&quot;c5a2a434-a16a-5b26-9e3c-6c6efe9fde38&quot;,&quot;itemData&quot;:{&quot;DOI&quot;:&quot;10.1007/s11095-020-2772-7&quot;,&quot;ISSN&quot;:&quot;1573904X&quot;,&quot;PMID&quot;:&quot;32185516&quot;,&quot;abstract&quot;:&quot;Purpose: While including amorphous solid dispersion (ASD) in tablet formulations is increasingly common, tablets containing high ASD loading are associated with slow disintegration, which presents a challenge to control pill burden for less potent compounds. Methods: We use a model ASD, composed of a hydrophobic drug with copovidone and a non-ionic surfactant, to explore formulation options that can prevent slow disintegration. Results: In addition to the ASD loading, the pH of the disintegration medium and the inclusion of inorganic salts in the tablet also have an impact on the tablet disintegration time. Certain kosmotropic salts, when added in the formulation, can significantly accelerate tablet disintegration, though the rank order in their effectiveness does not exactly follow the Hofmeister series at pH 1.8. The particle size and dissolution rate of the salt can contribute to its overall effectiveness. Conclusion: We provided a mechanistic explanation of the disintegration process: fast-dissolving kosmotropic salt results in a concentrated salt solution inside the restrained tablet matrix, thus inhibiting the dissolution of copovidone and preventing polymer gelling which is the main cause leading the slow disintegration. The outcome of this study has enabled the design of a higher ASD loading platform formulation for copovidone based ASD. [Figure not available: see fulltext.].&quot;,&quot;author&quot;:[{&quot;dropping-particle&quot;:&quot;&quot;,&quot;family&quot;:&quot;Xi&quot;,&quot;given&quot;:&quot;Hanmi&quot;,&quot;non-dropping-particle&quot;:&quot;&quot;,&quot;parse-names&quot;:false,&quot;suffix&quot;:&quot;&quot;},{&quot;dropping-particle&quot;:&quot;&quot;,&quot;family&quot;:&quot;Ren&quot;,&quot;given&quot;:&quot;Jie&quot;,&quot;non-dropping-particle&quot;:&quot;&quot;,&quot;parse-names&quot;:false,&quot;suffix&quot;:&quot;&quot;},{&quot;dropping-particle&quot;:&quot;&quot;,&quot;family&quot;:&quot;Novak&quot;,&quot;given&quot;:&quot;Julie M.&quot;,&quot;non-dropping-particle&quot;:&quot;&quot;,&quot;parse-names&quot;:false,&quot;suffix&quot;:&quot;&quot;},{&quot;dropping-particle&quot;:&quot;&quot;,&quot;family&quot;:&quot;Kemp&quot;,&quot;given&quot;:&quot;Eric&quot;,&quot;non-dropping-particle&quot;:&quot;&quot;,&quot;parse-names&quot;:false,&quot;suffix&quot;:&quot;&quot;},{&quot;dropping-particle&quot;:&quot;&quot;,&quot;family&quot;:&quot;Johnson&quot;,&quot;given&quot;:&quot;Gregory&quot;,&quot;non-dropping-particle&quot;:&quot;&quot;,&quot;parse-names&quot;:false,&quot;suffix&quot;:&quot;&quot;},{&quot;dropping-particle&quot;:&quot;&quot;,&quot;family&quot;:&quot;Klinzing&quot;,&quot;given&quot;:&quot;Gerard&quot;,&quot;non-dropping-particle&quot;:&quot;&quot;,&quot;parse-names&quot;:false,&quot;suffix&quot;:&quot;&quot;},{&quot;dropping-particle&quot;:&quot;&quot;,&quot;family&quot;:&quot;Johnson&quot;,&quot;given&quot;:&quot;Mary Ann&quot;,&quot;non-dropping-particle&quot;:&quot;&quot;,&quot;parse-names&quot;:false,&quot;suffix&quot;:&quot;&quot;},{&quot;dropping-particle&quot;:&quot;&quot;,&quot;family&quot;:&quot;Xu&quot;,&quot;given&quot;:&quot;Wei&quot;,&quot;non-dropping-particle&quot;:&quot;&quot;,&quot;parse-names&quot;:false,&quot;suffix&quot;:&quot;&quot;}],&quot;container-title&quot;:&quot;Pharmaceutical Research&quot;,&quot;id&quot;:&quot;c5a2a434-a16a-5b26-9e3c-6c6efe9fde38&quot;,&quot;issue&quot;:&quot;4&quot;,&quot;issued&quot;:{&quot;date-parts&quot;:[[&quot;2020&quot;]]},&quot;title&quot;:&quot;The Effect of Inorganic Salt on Disintegration of Tablets with High Loading of Amorphous Solid Dispersion Containing Copovidone&quot;,&quot;type&quot;:&quot;article-journal&quot;,&quot;volume&quot;:&quot;37&quot;,&quot;container-title-short&quot;:&quot;&quot;},&quot;uris&quot;:[&quot;http://www.mendeley.com/documents/?uuid=3a1ff67d-2b78-4c2f-9aee-0c53445a0cab&quot;],&quot;isTemporary&quot;:false,&quot;legacyDesktopId&quot;:&quot;3a1ff67d-2b78-4c2f-9aee-0c53445a0cab&quot;}]},{&quot;citationID&quot;:&quot;MENDELEY_CITATION_75b46e1f-060d-4f7f-ab0c-c4297c2d9d14&quot;,&quot;properties&quot;:{&quot;noteIndex&quot;:0},&quot;isEdited&quot;:false,&quot;manualOverride&quot;:{&quot;citeprocText&quot;:&quot;(Alam et al., 2015; Lima et al., 2020)&quot;,&quot;isManuallyOverridden&quot;:false,&quot;manualOverrideText&quot;:&quot;&quot;},&quot;citationTag&quot;:&quot;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&quot;,&quot;citationItems&quot;:[{&quot;id&quot;:&quot;b2f07f00-f697-5a7c-b46a-10f087f3cdb6&quot;,&quot;itemData&quot;:{&quot;DOI&quot;:&quot;10.1208/s12249-015-0381-2&quot;,&quot;ISSN&quot;:&quot;15309932&quot;,&quot;PMID&quot;:&quot;26265190&quot;,&quot;abstract&quot;:&quot;The solubility of five poorly soluble drugs was enhanced by using an effervescence assisted solid dispersion (EASD) technique. EASDs were prepared by using modified fusion method. Drug and hydrophilic carrier were melted, and in this molten mixture, effervescence was generated by adding effervescence couple comprising organic acid (citric acid) and carbonic base (sodium bicarbonate). Solubility of drug powders, solid dispersions, and EASDs was determined at 25°C using shake flask method. Atorvastatin calcium, cefuroxime axetil, clotrimazole, ketoconazole, and metronidazole benzoate were estimated using a spectrophotometer at 246, 280, 260, 230, and 232 nm (λmax), respectively. Solubility of atorvastatin calcium (from 100 to 345 μg/ml), cefuroxime axetil (from 441 to 1948 μg/ml), clotrimazole (from 63 to 677 μg/ml), ketoconazole (from 16 to 500 μg/ml), and metronidazole benzoate (from 112 to 208 μg/ml) in EASDs was enhanced by 3.45-, 4.4-, 10.7-, 31.2-, and 1.8-fold, respectively. Scanning electron micrographs of drug powder, solid dispersion, and EASDs were compared. Scanning electron micrographs of EASDs showed a uniform distribution of drug particles in the carrier matrix. Morphology (size and shape) of cefuroxime axetil particles was altered in solid dispersion as well as in EASD. EASDs showed better solubility enhancement than conventional solid dispersions. The present technique is better suitable for drugs having a low melting point or melt without charring. Effervescence assisted fusion technique of preparing solid dispersions can be employed for enhancing solubility, dissolution, and bioavailability of poorly soluble drugs.&quot;,&quot;author&quot;:[{&quot;dropping-particle&quot;:&quot;&quot;,&quot;family&quot;:&quot;Alam&quot;,&quot;given&quot;:&quot;Mohd Aftab&quot;,&quot;non-dropping-particle&quot;:&quot;&quot;,&quot;parse-names&quot;:false,&quot;suffix&quot;:&quot;&quot;},{&quot;dropping-particle&quot;:&quot;&quot;,&quot;family&quot;:&quot;Al-Jenoobi&quot;,&quot;given&quot;:&quot;Fahad I.&quot;,&quot;non-dropping-particle&quot;:&quot;&quot;,&quot;parse-names&quot;:false,&quot;suffix&quot;:&quot;&quot;},{&quot;dropping-particle&quot;:&quot;&quot;,&quot;family&quot;:&quot;Al-Mohizea&quot;,&quot;given&quot;:&quot;Abdullah M.&quot;,&quot;non-dropping-particle&quot;:&quot;&quot;,&quot;parse-names&quot;:false,&quot;suffix&quot;:&quot;&quot;},{&quot;dropping-particle&quot;:&quot;&quot;,&quot;family&quot;:&quot;Ali&quot;,&quot;given&quot;:&quot;Raisuddin&quot;,&quot;non-dropping-particle&quot;:&quot;&quot;,&quot;parse-names&quot;:false,&quot;suffix&quot;:&quot;&quot;}],&quot;container-title&quot;:&quot;AAPS PharmSciTech&quot;,&quot;id&quot;:&quot;b2f07f00-f697-5a7c-b46a-10f087f3cdb6&quot;,&quot;issue&quot;:&quot;6&quot;,&quot;issued&quot;:{&quot;date-parts&quot;:[[&quot;2015&quot;]]},&quot;page&quot;:&quot;1487-1494&quot;,&quot;title&quot;:&quot;Effervescence Assisted Fusion Technique to Enhance the Solubility of Drugs&quot;,&quot;type&quot;:&quot;article-journal&quot;,&quot;volume&quot;:&quot;16&quot;,&quot;container-title-short&quot;:&quot;AAPS PharmSciTech&quot;},&quot;uris&quot;:[&quot;http://www.mendeley.com/documents/?uuid=76fc5f1d-5cd3-4124-af4f-4d0e28791068&quot;],&quot;isTemporary&quot;:false,&quot;legacyDesktopId&quot;:&quot;76fc5f1d-5cd3-4124-af4f-4d0e28791068&quot;},{&quot;id&quot;:&quot;fd25c34a-540c-5d75-837e-ca36154d5cb2&quot;,&quot;itemData&quot;:{&quot;DOI&quot;:&quot;10.3390/pharmaceutics12080779&quot;,&quot;ISSN&quot;:&quot;19994923&quot;,&quot;abstract&quot;:&quot;Here, we assessed the feasibility of hot-melt extrusion (HME) to obtain effervescent drug products for the first time. For this, a combined mixture design was employed using paracetamol as a model drug. Extrudates were obtained under reduced torque (up to 0.3 Nm) at 100◦ C to preserve the stability of the effervescent salts. Formulations showed vigorous and rapid effervescent disintegration (&lt;3 min), adequate flow characteristics, and complete solubilization of paracetamol instantly after the effervescent reaction. Formulations containing PVPVA in the concentration range of 15–20% m/m were demonstrated to be sensitive to accelerated aging conditions, undergoing marked microstructural changes, since the capture of water led to the agglomeration and loss of their functional characteristics. HPMC matrices, in contrast, proved to be resistant to storage conditions in high relative humidity, showing superior performance to controls, including the commercial product. Moreover, the combined mixture design allowed us to identify significant interactions between the polymeric materials and the disintegrating agents, showing the formulation regions in which the responses are kept within the required levels. In conclusion, this study demonstrates that HME can bring important benefits to the elaboration of effervescent drug products, simplifying the production process and obtaining formulations with improved characteristics, such as faster disintegration, higher drug solubilization, and better stability.&quot;,&quot;author&quot;:[{&quot;dropping-particle&quot;:&quot;&quot;,&quot;family&quot;:&quot;Lima&quot;,&quot;given&quot;:&quot;Ana Luiza&quot;,&quot;non-dropping-particle&quot;:&quot;&quot;,&quot;parse-names&quot;:false,&quot;suffix&quot;:&quot;&quot;},{&quot;dropping-particle&quot;:&quot;&quot;,&quot;family&quot;:&quot;Pinho&quot;,&quot;given&quot;:&quot;Ludmila A.G.&quot;,&quot;non-dropping-particle&quot;:&quot;&quot;,&quot;parse-names&quot;:false,&quot;suffix&quot;:&quot;&quot;},{&quot;dropping-particle&quot;:&quot;&quot;,&quot;family&quot;:&quot;Chaker&quot;,&quot;given&quot;:&quot;Juliano A.&quot;,&quot;non-dropping-particle&quot;:&quot;&quot;,&quot;parse-names&quot;:false,&quot;suffix&quot;:&quot;&quot;},{&quot;dropping-particle&quot;:&quot;&quot;,&quot;family&quot;:&quot;Sa-Barreto&quot;,&quot;given&quot;:&quot;Livia L.&quot;,&quot;non-dropping-particle&quot;:&quot;&quot;,&quot;parse-names&quot;:false,&quot;suffix&quot;:&quot;&quot;},{&quot;dropping-particle&quot;:&quot;&quot;,&quot;family&quot;:&quot;Marreto&quot;,&quot;given&quot;:&quot;Ricardo Neves&quot;,&quot;non-dropping-particle&quot;:&quot;&quot;,&quot;parse-names&quot;:false,&quot;suffix&quot;:&quot;&quot;},{&quot;dropping-particle&quot;:&quot;&quot;,&quot;family&quot;:&quot;Gratieri&quot;,&quot;given&quot;:&quot;Tais&quot;,&quot;non-dropping-particle&quot;:&quot;&quot;,&quot;parse-names&quot;:false,&quot;suffix&quot;:&quot;&quot;},{&quot;dropping-particle&quot;:&quot;&quot;,&quot;family&quot;:&quot;Gelfuso&quot;,&quot;given&quot;:&quot;Guilherme M.&quot;,&quot;non-dropping-particle&quot;:&quot;&quot;,&quot;parse-names&quot;:false,&quot;suffix&quot;:&quot;&quot;},{&quot;dropping-particle&quot;:&quot;&quot;,&quot;family&quot;:&quot;Cunha-Filho&quot;,&quot;given&quot;:&quot;Marcilio&quot;,&quot;non-dropping-particle&quot;:&quot;&quot;,&quot;parse-names&quot;:false,&quot;suffix&quot;:&quot;&quot;}],&quot;container-title&quot;:&quot;Pharmaceutics&quot;,&quot;id&quot;:&quot;fd25c34a-540c-5d75-837e-ca36154d5cb2&quot;,&quot;issue&quot;:&quot;8&quot;,&quot;issued&quot;:{&quot;date-parts&quot;:[[&quot;2020&quot;]]},&quot;page&quot;:&quot;1-20&quot;,&quot;title&quot;:&quot;Hot-melt extrusion as an advantageous technology to obtain effervescent drug products&quot;,&quot;type&quot;:&quot;article-journal&quot;,&quot;volume&quot;:&quot;12&quot;,&quot;container-title-short&quot;:&quot;Pharmaceutics&quot;},&quot;uris&quot;:[&quot;http://www.mendeley.com/documents/?uuid=faef39c4-b974-4da7-a64b-08f71c53c6f2&quot;],&quot;isTemporary&quot;:false,&quot;legacyDesktopId&quot;:&quot;faef39c4-b974-4da7-a64b-08f71c53c6f2&quot;}]},{&quot;citationID&quot;:&quot;MENDELEY_CITATION_0153903f-ad96-40e8-aa1b-bf6fac9a24e3&quot;,&quot;properties&quot;:{&quot;noteIndex&quot;:0},&quot;isEdited&quot;:false,&quot;manualOverride&quot;:{&quot;citeprocText&quot;:&quot;(Pistone et al., 2022)&quot;,&quot;isManuallyOverridden&quot;:false,&quot;manualOverrideText&quot;:&quot;&quot;},&quot;citationTag&quot;:&quot;MENDELEY_CITATION_v3_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SaXp6aSIsImdpdmVuIjoiUm9zYW5uYS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02c7c592-09cc-42ef-8326-dc36cc013c9c&quot;,&quot;properties&quot;:{&quot;noteIndex&quot;:0},&quot;isEdited&quot;:false,&quot;manualOverride&quot;:{&quot;citeprocText&quot;:&quot;(Mali et al., 2014)&quot;,&quot;isManuallyOverridden&quot;:false,&quot;manualOverrideText&quot;:&quot;&quot;},&quot;citationTag&quot;:&quot;MENDELEY_CITATION_v3_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&quot;,&quot;citationItems&quot;:[{&quot;id&quot;:&quot;71e9fefa-23b2-5de7-b34a-52d6b686a6d0&quot;,&quot;itemData&quot;:{&quot;DOI&quot;:&quot;10.1155/2014/795371&quot;,&quot;ISSN&quot;:&quot;2090-9918&quot;,&quot;abstract&quot;:&quot; The progress in the development of DPI technology has boosted the use of sensitive drug molecules for lung diseases. However, delivery of these molecules from conventional DPI to the active site still poses a challenge with respect to deposition efficiency in the lung. At same time, serious systemic side effects of drugs have become a cause for concern. The developed budesonide loaded biopolymer based controlled release DPI had shown maximum in vitro lung deposition with least toxicity. The subject of present study, lactose-free budesonide loaded biopolymer based DPI, further corroborates the great potential of antiasthmatic drugs. This technology is expected to revolutionize the approaches towards enhanced therapeutic delivery of prospective drugs. &quot;,&quot;author&quot;:[{&quot;dropping-particle&quot;:&quot;&quot;,&quot;family&quot;:&quot;Mali&quot;,&quot;given&quot;:&quot;Ashwin J.&quot;,&quot;non-dropping-particle&quot;:&quot;&quot;,&quot;parse-names&quot;:false,&quot;suffix&quot;:&quot;&quot;},{&quot;dropping-particle&quot;:&quot;&quot;,&quot;family&quot;:&quot;Pawar&quot;,&quot;given&quot;:&quot;Atmaram P.&quot;,&quot;non-dropping-particle&quot;:&quot;&quot;,&quot;parse-names&quot;:false,&quot;suffix&quot;:&quot;&quot;},{&quot;dropping-particle&quot;:&quot;&quot;,&quot;family&quot;:&quot;Purohit&quot;,&quot;given&quot;:&quot;Ravindra N.&quot;,&quot;non-dropping-particle&quot;:&quot;&quot;,&quot;parse-names&quot;:false,&quot;suffix&quot;:&quot;&quot;}],&quot;container-title&quot;:&quot;Journal of Pharmaceutics&quot;,&quot;id&quot;:&quot;71e9fefa-23b2-5de7-b34a-52d6b686a6d0&quot;,&quot;issued&quot;:{&quot;date-parts&quot;:[[&quot;2014&quot;]]},&quot;page&quot;:&quot;1-12&quot;,&quot;title&quot;:&quot; Development of Budesonide Loaded Biopolymer Based Dry Powder Inhaler: Optimization, In Vitro Deposition, and Cytotoxicity Study &quot;,&quot;type&quot;:&quot;article-journal&quot;,&quot;volume&quot;:&quot;2014&quot;,&quot;container-title-short&quot;:&quot;&quot;},&quot;uris&quot;:[&quot;http://www.mendeley.com/documents/?uuid=59258093-401a-4473-9849-cfbf3f942326&quot;],&quot;isTemporary&quot;:false,&quot;legacyDesktopId&quot;:&quot;59258093-401a-4473-9849-cfbf3f942326&quot;}]},{&quot;citationID&quot;:&quot;MENDELEY_CITATION_5de6ed72-91a5-4388-a52c-2b0fc35f5b3f&quot;,&quot;properties&quot;:{&quot;noteIndex&quot;:0},&quot;isEdited&quot;:false,&quot;manualOverride&quot;:{&quot;citeprocText&quot;:&quot;(Michailidou et al., 2021)&quot;,&quot;isManuallyOverridden&quot;:false,&quot;manualOverrideText&quot;:&quot;&quot;},&quot;citationTag&quot;:&quot;MENDELEY_CITATION_v3_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&quot;,&quot;citationItems&quot;:[{&quot;id&quot;:&quot;869c905b-fc8b-546e-a20b-2f2aed7dfcfc&quot;,&quot;itemData&quot;:{&quot;DOI&quot;:&quot;10.3390/app112412085&quot;,&quot;ISSN&quot;:&quot;20763417&quot;,&quot;abstract&quot;:&quot;Chronic obstructive pulmonary disease (COPD) is a life-threatening disease of the respira-tory system, affecting many patients worldwide. Budesonide (BUD), a synthetic glucocorticosteroid applied for the treatment of COPD patients, is a hydrophobic compound with low bioavailability. The formation of inclusion complexes of hydrophobic compounds with β-cyclodextrin (CD) through the solvent evaporation technique is an appealing method for the amelioration of the compounds’ in vitro release behavior. In the present study, CD–BUD complexes were prepared through the solvent evaporation technique. The effect of the applied solvent was evaluated through FTIR, scanning electron microscopy (SEM), X-ray diffraction (XRD) analysis, and in vitro release behavior measurements. It was found that the optimum complexes with the minimum degree of crystallinity and the optimum in vitro release behavior are prepared in the solvent ratio H2O/EtOH 80/20 v/v. In a further step, the formation of CD–BUD complexes containing different amounts of BUD was prepared. Through XRD measurements, the degree of crystallinity of the samples was calculated confirming the diminished crystallinity of BUD in CD complexes. The in vitro release of the samples showed the improved release behavior of BUD from the complexes in comparison to neat BUD while a direct correlation between the degree of crystallinity and in vitro release behavior was demonstrated.&quot;,&quot;author&quot;:[{&quot;dropping-particle&quot;:&quot;&quot;,&quot;family&quot;:&quot;Michailidou&quot;,&quot;given&quot;:&quot;Georgia&quot;,&quot;non-dropping-particle&quot;:&quot;&quot;,&quot;parse-names&quot;:false,&quot;suffix&quot;:&quot;&quot;},{&quot;dropping-particle&quot;:&quot;&quot;,&quot;family&quot;:&quot;Papageorgiou&quot;,&quot;given&quot;:&quot;George Z.&quot;,&quot;non-dropping-particle&quot;:&quot;&quot;,&quot;parse-names&quot;:false,&quot;suffix&quot;:&quot;&quot;},{&quot;dropping-particle&quot;:&quot;&quot;,&quot;family&quot;:&quot;Bikiaris&quot;,&quot;given&quot;:&quot;Dimitrios N.&quot;,&quot;non-dropping-particle&quot;:&quot;&quot;,&quot;parse-names&quot;:false,&quot;suffix&quot;:&quot;&quot;}],&quot;container-title&quot;:&quot;Applied Sciences (Switzerland)&quot;,&quot;id&quot;:&quot;869c905b-fc8b-546e-a20b-2f2aed7dfcfc&quot;,&quot;issue&quot;:&quot;24&quot;,&quot;issued&quot;:{&quot;date-parts&quot;:[[&quot;2021&quot;]]},&quot;title&quot;:&quot;β-Cyclodextrin Inclusion Complexes of Budesonide with Enhanced Bioavailability for COPD Treatment&quot;,&quot;type&quot;:&quot;article-journal&quot;,&quot;volume&quot;:&quot;11&quot;,&quot;container-title-short&quot;:&quot;&quot;},&quot;uris&quot;:[&quot;http://www.mendeley.com/documents/?uuid=b6f8e2e2-176c-4eb8-85be-d4abffec2e38&quot;],&quot;isTemporary&quot;:false,&quot;legacyDesktopId&quot;:&quot;b6f8e2e2-176c-4eb8-85be-d4abffec2e38&quot;}]},{&quot;citationID&quot;:&quot;MENDELEY_CITATION_1cef5b01-246e-4468-822b-fd98f518c802&quot;,&quot;properties&quot;:{&quot;noteIndex&quot;:0},&quot;isEdited&quot;:false,&quot;manualOverride&quot;:{&quot;citeprocText&quot;:&quot;(Wang et al., 2022)&quot;,&quot;isManuallyOverridden&quot;:false,&quot;manualOverrideText&quot;:&quot;&quot;},&quot;citationTag&quot;:&quot;MENDELEY_CITATION_v3_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&quot;,&quot;citationItems&quot;:[{&quot;id&quot;:&quot;9462569a-2f25-5a2c-a597-1563bfe79bd6&quot;,&quot;itemData&quot;:{&quot;DOI&quot;:&quot;10.1016/j.ijpharm.2022.121625&quot;,&quot;ISSN&quot;:&quot;18733476&quot;,&quot;PMID&quot;:&quot;35259442&quot;,&quot;abstract&quot;:&quot;Co-amorphous systems have been developed to address the solubility challenge of poorly water-soluble crystalline drugs. However, due to the thermodynamic instability of amorphous forms, amorphization may result in recrystallization during manufacturing, storage, or dissolution, which is one of the main challenges in the pharmaceutical development of amorphous systems. This could also be the case in some co-amorphous systems with only non-strong interactions between the drug and the co-former (such as hydrogen bond formation and π-π interactions). In this study, a small amount of polymer was added to the binary co-amorphous mixture carvedilol (CAR) - tryptophan (TRP) at a molar ratio of 1:1 and subjected to mechanical activation by ball milling to produce amorphous systems, in order to investigate the effect of co-formulated polymer on the physical properties (solubility, stability, etc.) of non-strongly interacting binary co-amorphous mixtures. After co-formulating polymer to the binary co-amorphous system, stronger interactions were found between CAR and polymer than between CAR and TRP in the ternary polymer containing co-amorphous systems. Compared to the corresponding binary co-amorphous systems, larger areas under the dissolution curves were achieved, indicating an improvement in dissolution behaviour due to a more gradual increase in dissolved drug concentration and a longer period of maintaining drug supersaturation. There was no negative effect of polymer addition on physical stability at room temperature under dry storage conditions for 6 months. Therefore, it is possible to design ternary co-amorphous drug delivery systems with optimized dissolution characteristics by adding a small amount of polymer into co-amorphous binary systems.&quot;,&quot;author&quot;:[{&quot;dropping-particle&quot;:&quot;&quot;,&quot;family&quot;:&quot;Wang&quot;,&quot;given&quot;:&quot;Yixuan&quot;,&quot;non-dropping-particle&quot;:&quot;&quot;,&quot;parse-names&quot;:false,&quot;suffix&quot;:&quot;&quot;},{&quot;dropping-particle&quot;:&quot;&quot;,&quot;family&quot;:&quot;Grohganz&quot;,&quot;given&quot;:&quot;Holger&quot;,&quot;non-dropping-particle&quot;:&quot;&quot;,&quot;parse-names&quot;:false,&quot;suffix&quot;:&quot;&quot;},{&quot;dropping-particle&quot;:&quot;&quot;,&quot;family&quot;:&quot;Rades&quot;,&quot;given&quot;:&quot;Thomas&quot;,&quot;non-dropping-particle&quot;:&quot;&quot;,&quot;parse-names&quot;:false,&quot;suffix&quot;:&quot;&quot;}],&quot;container-title&quot;:&quot;International Journal of Pharmaceutics&quot;,&quot;id&quot;:&quot;9462569a-2f25-5a2c-a597-1563bfe79bd6&quot;,&quot;issued&quot;:{&quot;date-parts&quot;:[[&quot;2022&quot;]]},&quot;page&quot;:&quot;121625&quot;,&quot;publisher&quot;:&quot;Elsevier B.V.&quot;,&quot;title&quot;:&quot;Effects of polymer addition on the non-strongly interacting binary co-amorphous system carvedilol-tryptophan&quot;,&quot;type&quot;:&quot;article-journal&quot;,&quot;volume&quot;:&quot;617&quot;,&quot;container-title-short&quot;:&quot;&quot;},&quot;uris&quot;:[&quot;http://www.mendeley.com/documents/?uuid=5c7e0470-d52d-4aa4-8e9d-c816d160f61a&quot;],&quot;isTemporary&quot;:false,&quot;legacyDesktopId&quot;:&quot;5c7e0470-d52d-4aa4-8e9d-c816d160f61a&quot;}]},{&quot;citationID&quot;:&quot;MENDELEY_CITATION_da96e84b-d4f2-43ba-b1b7-686436d03957&quot;,&quot;properties&quot;:{&quot;noteIndex&quot;:0},&quot;isEdited&quot;:false,&quot;manualOverride&quot;:{&quot;citeprocText&quot;:&quot;(Yuan et al., 2015)&quot;,&quot;isManuallyOverridden&quot;:false,&quot;manualOverrideText&quot;:&quot;&quot;},&quot;citationTag&quot;:&quot;MENDELEY_CITATION_v3_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&quot;,&quot;citationItems&quot;:[{&quot;id&quot;:&quot;9df5a758-86ea-5d3e-ad42-877caa4b5d68&quot;,&quot;itemData&quot;:{&quot;DOI&quot;:&quot;10.1016/j.carbpol.2014.10.070&quot;,&quot;ISSN&quot;:&quot;01448617&quot;,&quot;PMID&quot;:&quot;25542104&quot;,&quot;abstract&quot;:&quot;The structure and thermal properties of hydroxylpropyl-β-cyclodextrins (HPCDs) with different degrees of substitution (DS) and different substitution sites were evaluated via GC-MS, FTIR, and TG-DTA combined thermoanalytical techniques. The results of GC-MS provided the DS and substitution pattern of the HPCD samples. The IR spectra of HPCDs showed all characteristic peaks corresponding to cyclodextrin. Furthermore, the characteristic peaks for methyl in the hydroxypropyl group at 2960 and 1375 cm-1 were observed. The thermal decomposition temperature of HPCDs was about 300 °C to 400°C and enhanced linearly as the molecular DS increased. The rate of DS rise of HPCDs prepared at a strong alkaline condition was higher than that prepared in a weak alkaline solution.&quot;,&quot;author&quot;:[{&quot;dropping-particle&quot;:&quot;&quot;,&quot;family&quot;:&quot;Yuan&quot;,&quot;given&quot;:&quot;Chao&quot;,&quot;non-dropping-particle&quot;:&quot;&quot;,&quot;parse-names&quot;:false,&quot;suffix&quot;:&quot;&quot;},{&quot;dropping-particle&quot;:&quot;&quot;,&quot;family&quot;:&quot;Liu&quot;,&quot;given&quot;:&quot;Benguo&quot;,&quot;non-dropping-particle&quot;:&quot;&quot;,&quot;parse-names&quot;:false,&quot;suffix&quot;:&quot;&quot;},{&quot;dropping-particle&quot;:&quot;&quot;,&quot;family&quot;:&quot;Liu&quot;,&quot;given&quot;:&quot;Hui&quot;,&quot;non-dropping-particle&quot;:&quot;&quot;,&quot;parse-names&quot;:false,&quot;suffix&quot;:&quot;&quot;}],&quot;container-title&quot;:&quot;Carbohydrate Polymers&quot;,&quot;id&quot;:&quot;9df5a758-86ea-5d3e-ad42-877caa4b5d68&quot;,&quot;issued&quot;:{&quot;date-parts&quot;:[[&quot;2015&quot;]]},&quot;page&quot;:&quot;36-40&quot;,&quot;title&quot;:&quot;Characterization of hydroxypropyl-β-cyclodextrins with different substitution patterns via FTIR, GC-MS, and TG-DTA&quot;,&quot;type&quot;:&quot;article-journal&quot;,&quot;volume&quot;:&quot;118&quot;,&quot;container-title-short&quot;:&quot;&quot;},&quot;uris&quot;:[&quot;http://www.mendeley.com/documents/?uuid=e2485116-0753-4875-ae6c-31027b0176f3&quot;],&quot;isTemporary&quot;:false,&quot;legacyDesktopId&quot;:&quot;e2485116-0753-4875-ae6c-31027b0176f3&quot;}]},{&quot;citationID&quot;:&quot;MENDELEY_CITATION_765d6a60-b34f-4950-9f9e-c4a11d171d28&quot;,&quot;properties&quot;:{&quot;noteIndex&quot;:0},&quot;isEdited&quot;:false,&quot;manualOverride&quot;:{&quot;citeprocText&quot;:&quot;(Granados et al., 2022; Thiry et al., 2017)&quot;,&quot;isManuallyOverridden&quot;:false,&quot;manualOverrideText&quot;:&quot;&quot;},&quot;citationTag&quot;:&quot;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&quot;,&quot;citationItems&quot;:[{&quot;id&quot;:&quot;fa8073e0-8a46-5645-aa7a-866bba2aea20&quot;,&quot;itemData&quot;:{&quot;DOI&quot;:&quot;10.1016/j.ejps.2016.09.032&quot;,&quot;ISSN&quot;:&quot;18790720&quot;,&quot;PMID&quot;:&quot;27687637&quot;,&quot;abstract&quot;:&quot;The aim of this study was to evaluate hot-melt extrusion (HME) as a continuous process to form cyclodextrin (CD) inclusion complexes in order to increase the solubility and dissolution rate of itraconazole (ITZ), a class II model drug molecule of the Biopharmaceutics Classification System. Different CD derivatives were tested in a 1:1 (CD:ITZ) molar ratio to obtain CD ternary inclusion complexes in the presence of a polymer, namely Soluplus® (SOL). The CD used in this series of experiments were β-cyclodextrin (βCD), hydroxypropyl-β-cyclodextrin (HPβCD) with degrees of substitution of 0.63 and 0.87, randomly methylated β-cyclodextrin (Rameb®), sulfobutylether-β-cyclodextrin (Captisol®) and methyl-β-cyclodextrin (Crysmeb®). Rheology testing and mini extrusion using a conical twin screw mini extruder were performed to test the processability of the different CD mixtures since CD are not thermoplastic. This allowed Captisol® and Crysmeb® to be discarded from the study due to their high impact on the viscosity of the SOL/ITZ mixture. The remaining CD were processed by HME in an 18 mm twin screw extruder. Saturation concentration measurements confirmed the enhancement of solubility of ITZ for the four CD formulations. Biphasic dissolution tests indicated that all four formulations had faster release profiles compared to the SOL/ITZ solid dispersion. Formulations of HPβCD 0.63 and Rameb® even reached 95% of ITZ released in both phases after 1 h. The formulations were characterized using thermal differential scanning calorimetry and attenuated total reflectance infra-red analysis. These analyses confirmed that the increased release profile was due to the formation of ternary inclusion complexes.&quot;,&quot;author&quot;:[{&quot;dropping-particle&quot;:&quot;&quot;,&quot;family&quot;:&quot;Thiry&quot;,&quot;given&quot;:&quot;Justine&quot;,&quot;non-dropping-particle&quot;:&quot;&quot;,&quot;parse-names&quot;:false,&quot;suffix&quot;:&quot;&quot;},{&quot;dropping-particle&quot;:&quot;&quot;,&quot;family&quot;:&quot;Krier&quot;,&quot;given&quot;:&quot;Fabrice&quot;,&quot;non-dropping-particle&quot;:&quot;&quot;,&quot;parse-names&quot;:false,&quot;suffix&quot;:&quot;&quot;},{&quot;dropping-particle&quot;:&quot;&quot;,&quot;family&quot;:&quot;Ratwatte&quot;,&quot;given&quot;:&quot;Shenelka&quot;,&quot;non-dropping-particle&quot;:&quot;&quot;,&quot;parse-names&quot;:false,&quot;suffix&quot;:&quot;&quot;},{&quot;dropping-particle&quot;:&quot;&quot;,&quot;family&quot;:&quot;Thomassin&quot;,&quot;given&quot;:&quot;Jean Michel&quot;,&quot;non-dropping-particle&quot;:&quot;&quot;,&quot;parse-names&quot;:false,&quot;suffix&quot;:&quot;&quot;},{&quot;dropping-particle&quot;:&quot;&quot;,&quot;family&quot;:&quot;Jerome&quot;,&quot;given&quot;:&quot;Christine&quot;,&quot;non-dropping-particle&quot;:&quot;&quot;,&quot;parse-names&quot;:false,&quot;suffix&quot;:&quot;&quot;},{&quot;dropping-particle&quot;:&quot;&quot;,&quot;family&quot;:&quot;Evrard&quot;,&quot;given&quot;:&quot;Brigitte&quot;,&quot;non-dropping-particle&quot;:&quot;&quot;,&quot;parse-names&quot;:false,&quot;suffix&quot;:&quot;&quot;}],&quot;container-title&quot;:&quot;European Journal of Pharmaceutical Sciences&quot;,&quot;id&quot;:&quot;fa8073e0-8a46-5645-aa7a-866bba2aea20&quot;,&quot;issued&quot;:{&quot;date-parts&quot;:[[&quot;2017&quot;]]},&quot;page&quot;:&quot;590-597&quot;,&quot;publisher&quot;:&quot;Elsevier B.V.&quot;,&quot;title&quot;:&quot;Hot-melt extrusion as a continuous manufacturing process to form ternary cyclodextrin inclusion complexes&quot;,&quot;type&quot;:&quot;article-journal&quot;,&quot;volume&quot;:&quot;96&quot;,&quot;container-title-short&quot;:&quot;&quot;},&quot;uris&quot;:[&quot;http://www.mendeley.com/documents/?uuid=627b7756-c709-4601-8ea9-58d2705dfb1a&quot;],&quot;isTemporary&quot;:false,&quot;legacyDesktopId&quot;:&quot;627b7756-c709-4601-8ea9-58d2705dfb1a&quot;},{&quot;id&quot;:&quot;2b459c90-f2d7-5cf9-b85a-58da4818c4aa&quot;,&quot;itemData&quot;:{&quot;DOI&quot;:&quot;10.1016/j.apt.2021.11.032&quot;,&quot;ISSN&quot;:&quot;15685527&quot;,&quot;abstract&quot;:&quot;The complexation of cyclodextrin ranks among the best methods of overcoming the unfavorable pharmacokinetic properties of naringenin (NAR). This work proposes obtaining NAR complexes with hydroxypropyl-β-cyclodextrin (HPβCD) using hot-melt extrusion (HME), a solvent-free, continuous manufacturing process. To that end, the miscibility and stability of NAR in different hydrophilic polymeric matrices were tested using thermal, morphological, and spectroscopic assays, after which inclusion complexes were prepared via HME using different plasticizers. While the cellulosic polymers showed a limited ability to dissolve NAR, Plasdone® S-630 was chemically incompatible with the drug under shearing and heating. By contrast, polyvinyl alcohol and Soluplus® demonstrated compatibility and a high capacity to interact with NAR. The polyvinyl alcohol extrudates accelerated NAR's dissolution, especially in systems containing HPβCD, which suggests high levels of the inclusion complex's formation and nearly instantaneous dissolution (28 mg/mL in 15 min) superior to other technological approaches described in the literature. Meanwhile, samples extruded with Soluplus® delayed NAR's dissolution, with rates modulated according to the drug–cyclodextrin interaction. Thus, HME proved to be a valuable, versatile method of producing cyclodextrin complexes of NAR able to support immediate and prolonged drug delivery systems depending on the formulation parameters. Many industrial advantages, including being eco-friendly and easy to scale up, make HME a promising method for exploring NAR's remarkable medical potential.&quot;,&quot;author&quot;:[{&quot;dropping-particle&quot;:&quot;&quot;,&quot;family&quot;:&quot;Granados&quot;,&quot;given&quot;:&quot;Pedro A.&quot;,&quot;non-dropping-particle&quot;:&quot;&quot;,&quot;parse-names&quot;:false,&quot;suffix&quot;:&quot;&quot;},{&quot;dropping-particle&quot;:&quot;&quot;,&quot;family&quot;:&quot;Pinho&quot;,&quot;given&quot;:&quot;Ludmila A.G.&quot;,&quot;non-dropping-particle&quot;:&quot;&quot;,&quot;parse-names&quot;:false,&quot;suffix&quot;:&quot;&quot;},{&quot;dropping-particle&quot;:&quot;&quot;,&quot;family&quot;:&quot;Sa-Barreto&quot;,&quot;given&quot;:&quot;Livia L.&quot;,&quot;non-dropping-particle&quot;:&quot;&quot;,&quot;parse-names&quot;:false,&quot;suffix&quot;:&quot;&quot;},{&quot;dropping-particle&quot;:&quot;&quot;,&quot;family&quot;:&quot;Gratieri&quot;,&quot;given&quot;:&quot;Tais&quot;,&quot;non-dropping-particle&quot;:&quot;&quot;,&quot;parse-names&quot;:false,&quot;suffix&quot;:&quot;&quot;},{&quot;dropping-particle&quot;:&quot;&quot;,&quot;family&quot;:&quot;Gelfuso&quot;,&quot;given&quot;:&quot;Guilherme M.&quot;,&quot;non-dropping-particle&quot;:&quot;&quot;,&quot;parse-names&quot;:false,&quot;suffix&quot;:&quot;&quot;},{&quot;dropping-particle&quot;:&quot;&quot;,&quot;family&quot;:&quot;Cunha-Filho&quot;,&quot;given&quot;:&quot;Marcilio&quot;,&quot;non-dropping-particle&quot;:&quot;&quot;,&quot;parse-names&quot;:false,&quot;suffix&quot;:&quot;&quot;}],&quot;container-title&quot;:&quot;Advanced Powder Technology&quot;,&quot;id&quot;:&quot;2b459c90-f2d7-5cf9-b85a-58da4818c4aa&quot;,&quot;issue&quot;:&quot;1&quot;,&quot;issued&quot;:{&quot;date-parts&quot;:[[&quot;2022&quot;]]},&quot;page&quot;:&quot;103380&quot;,&quot;publisher&quot;:&quot;Society of Powder Technology Japan&quot;,&quot;title&quot;:&quot;Application of hot-melt extrusion in the complexation of naringenin with cyclodextrin using hydrophilic polymers&quot;,&quot;type&quot;:&quot;article-journal&quot;,&quot;volume&quot;:&quot;33&quot;,&quot;container-title-short&quot;:&quot;&quot;},&quot;uris&quot;:[&quot;http://www.mendeley.com/documents/?uuid=b5f69a32-3486-4394-b7b9-eefbbe54e979&quot;],&quot;isTemporary&quot;:false,&quot;legacyDesktopId&quot;:&quot;b5f69a32-3486-4394-b7b9-eefbbe54e979&quot;}]},{&quot;citationID&quot;:&quot;MENDELEY_CITATION_0ae8df69-ac38-4cb4-b7d7-146a3d648db4&quot;,&quot;properties&quot;:{&quot;noteIndex&quot;:0},&quot;isEdited&quot;:false,&quot;manualOverride&quot;:{&quot;citeprocText&quot;:&quot;(Goyanes et al., 2015)&quot;,&quot;isManuallyOverridden&quot;:false,&quot;manualOverrideText&quot;:&quot;&quot;},&quot;citationTag&quot;:&quot;MENDELEY_CITATION_v3_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&quot;,&quot;citationItems&quot;:[{&quot;id&quot;:&quot;8922f7eb-5cfc-5b74-b8e8-167aee5ba6f4&quot;,&quot;itemData&quot;:{&quot;DOI&quot;:&quot;10.1016/j.ijpharm.2015.10.039&quot;,&quot;ISSN&quot;:&quot;18733476&quot;,&quot;PMID&quot;:&quot;26481468&quot;,&quot;abstract&quot;:&quot;The aim of this work was to explore the feasibility of using fused deposition modelling (FDM) 3D printing (3DP) technology with hot melt extrusion (HME) and fluid bed coating to fabricate modified-release budesonide dosage forms. Budesonide was sucessfully loaded into polyvinyl alcohol filaments using HME. The filaments were engineered into capsule-shaped tablets (caplets) containing 9 mg budesonide using a FDM 3D printer; the caplets were then overcoated with a layer of enteric polymer. The final printed formulation was tested in a dynamic dissolution bicarbonate buffer system, and two commercial budesonide products, Cortiment® (Uceris®) and Entocort®, were also investigated for comparison. Budesonide release from the Entocort® formulation was rapid in conditions of the upper small intestine while release from the Cortiment® product was more delayed and very slow. In contrast, the new 3D printed caplet formulation started to release in the mid-small intestine but release then continued in a sustained manner throughout the distal intestine and colon. This work has demonstrated the potential of combining FDM 3DP with established pharmaceutical processes, including HME and film coating, to fabricate modified release oral dosage forms.&quot;,&quot;author&quot;:[{&quot;dropping-particle&quot;:&quot;&quot;,&quot;family&quot;:&quot;Goyanes&quot;,&quot;given&quot;:&quot;Alvaro&quot;,&quot;non-dropping-particle&quot;:&quot;&quot;,&quot;parse-names&quot;:false,&quot;suffix&quot;:&quot;&quot;},{&quot;dropping-particle&quot;:&quot;&quot;,&quot;family&quot;:&quot;Chang&quot;,&quot;given&quot;:&quot;Hanah&quot;,&quot;non-dropping-particle&quot;:&quot;&quot;,&quot;parse-names&quot;:false,&quot;suffix&quot;:&quot;&quot;},{&quot;dropping-particle&quot;:&quot;&quot;,&quot;family&quot;:&quot;Sedough&quot;,&quot;given&quot;:&quot;Daniel&quot;,&quot;non-dropping-particle&quot;:&quot;&quot;,&quot;parse-names&quot;:false,&quot;suffix&quot;:&quot;&quot;},{&quot;dropping-particle&quot;:&quot;&quot;,&quot;family&quot;:&quot;Hatton&quot;,&quot;given&quot;:&quot;Grace B.&quot;,&quot;non-dropping-particle&quot;:&quot;&quot;,&quot;parse-names&quot;:false,&quot;suffix&quot;:&quot;&quot;},{&quot;dropping-particle&quot;:&quot;&quot;,&quot;family&quot;:&quot;Wang&quot;,&quot;given&quot;:&quot;Jie&quot;,&quot;non-dropping-particle&quot;:&quot;&quot;,&quot;parse-names&quot;:false,&quot;suffix&quot;:&quot;&quot;},{&quot;dropping-particle&quot;:&quot;&quot;,&quot;family&quot;:&quot;Buanz&quot;,&quot;given&quot;:&quot;Asma&quot;,&quot;non-dropping-particle&quot;:&quot;&quot;,&quot;parse-names&quot;:false,&quot;suffix&quot;:&quot;&quot;},{&quot;dropping-particle&quot;:&quot;&quot;,&quot;family&quot;:&quot;Gaisford&quot;,&quot;given&quot;:&quot;Simon&quot;,&quot;non-dropping-particle&quot;:&quot;&quot;,&quot;parse-names&quot;:false,&quot;suffix&quot;:&quot;&quot;},{&quot;dropping-particle&quot;:&quot;&quot;,&quot;family&quot;:&quot;Basit&quot;,&quot;given&quot;:&quot;Abdul W.&quot;,&quot;non-dropping-particle&quot;:&quot;&quot;,&quot;parse-names&quot;:false,&quot;suffix&quot;:&quot;&quot;}],&quot;container-title&quot;:&quot;International Journal of Pharmaceutics&quot;,&quot;id&quot;:&quot;8922f7eb-5cfc-5b74-b8e8-167aee5ba6f4&quot;,&quot;issue&quot;:&quot;2&quot;,&quot;issued&quot;:{&quot;date-parts&quot;:[[&quot;2015&quot;]]},&quot;page&quot;:&quot;414-420&quot;,&quot;publisher&quot;:&quot;Elsevier B.V.&quot;,&quot;title&quot;:&quot;Fabrication of controlled-release budesonide tablets via desktop (FDM) 3D printing&quot;,&quot;type&quot;:&quot;article-journal&quot;,&quot;volume&quot;:&quot;496&quot;,&quot;container-title-short&quot;:&quot;&quot;},&quot;uris&quot;:[&quot;http://www.mendeley.com/documents/?uuid=65f59316-adf7-4075-b617-d296def79c44&quot;],&quot;isTemporary&quot;:false,&quot;legacyDesktopId&quot;:&quot;65f59316-adf7-4075-b617-d296def79c44&quot;}]},{&quot;citationID&quot;:&quot;MENDELEY_CITATION_4fd13a7c-55a6-4b6b-aee1-2c32f565c73b&quot;,&quot;properties&quot;:{&quot;noteIndex&quot;:0},&quot;isEdited&quot;:false,&quot;manualOverride&quot;:{&quot;citeprocText&quot;:&quot;(Kim et al., 2014)&quot;,&quot;isManuallyOverridden&quot;:false,&quot;manualOverrideText&quot;:&quot;&quot;},&quot;citationTag&quot;:&quot;MENDELEY_CITATION_v3_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&quot;,&quot;citationItems&quot;:[{&quot;id&quot;:&quot;55b1c5e7-aa8b-5660-831e-180800078899&quot;,&quot;itemData&quot;:{&quot;DOI&quot;:&quot;10.3109/03639045.2013.782503&quot;,&quot;ISSN&quot;:&quot;15205762&quot;,&quot;PMID&quot;:&quot;23547762&quot;,&quot;abstract&quot;:&quot;Objective: Lyophilized microparticles composed of budesonide (BDS), hydroxypropyl-β-cyclodextrin (HP-β-CD), and hydroxypropylmethylcellulose (HPMC) or sodium carboxymethylcellulose (CMC-Na) were developed for intranasal delivery and their characteristics were evaluated. Materials and methods: The particle size and morphology were assessed by mean diameter measurement and scanning electron microscopy (SEM) image, respectively. The solid-state of products was tested by X-ray powder diffraction (XRPD), Fourier transform infrared spectroscopy (FT-IR) and differential scanning calorimetry (DSC). In vitro drug release and cytotoxicity to the primary human nasal epithelial (HNE) cells were also evaluated. Results and discussion: Lyophilized microparticles exhibited vanishment of crystallinity of drug in XRPD analysis, the enfeeblement of carbonyl (C=O) stretching bands of carboxyl group in BDS in FT-IR spectra and the disappearance of endothermic peak of drug in the results of DSC study. Based on the results of solid-state studies, BDS was existed as an amorphous form in the lyophilized microparticles. CD complexation enhanced drug solubility and release rate, and HPMC or CMC-Na also improved drug dissolution rates. Cytotoxicity of developed microparticles to the HNE cells was measured and their safety to HNE cell was identified. Conclusion: Developed microparticles can efficiently deliver insoluble drug, such as BDS, to the nasal epithelium and thus it may improve therapeutic efficacy in the respiratory tract. © 2014 Informa Healthcare USA, Inc.&quot;,&quot;author&quot;:[{&quot;dropping-particle&quot;:&quot;&quot;,&quot;family&quot;:&quot;Kim&quot;,&quot;given&quot;:&quot;Ji Eon&quot;,&quot;non-dropping-particle&quot;:&quot;&quot;,&quot;parse-names&quot;:false,&quot;suffix&quot;:&quot;&quot;},{&quot;dropping-particle&quot;:&quot;&quot;,&quot;family&quot;:&quot;Cho&quot;,&quot;given&quot;:&quot;Hyun Jong&quot;,&quot;non-dropping-particle&quot;:&quot;&quot;,&quot;parse-names&quot;:false,&quot;suffix&quot;:&quot;&quot;},{&quot;dropping-particle&quot;:&quot;&quot;,&quot;family&quot;:&quot;Kim&quot;,&quot;given&quot;:&quot;Dae Duk&quot;,&quot;non-dropping-particle&quot;:&quot;&quot;,&quot;parse-names&quot;:false,&quot;suffix&quot;:&quot;&quot;}],&quot;container-title&quot;:&quot;Drug Development and Industrial Pharmacy&quot;,&quot;id&quot;:&quot;55b1c5e7-aa8b-5660-831e-180800078899&quot;,&quot;issue&quot;:&quot;6&quot;,&quot;issued&quot;:{&quot;date-parts&quot;:[[&quot;2014&quot;]]},&quot;page&quot;:&quot;743-748&quot;,&quot;title&quot;:&quot;Budesonide/cyclodextrin complex-loaded lyophilized microparticles for intranasal application&quot;,&quot;type&quot;:&quot;article-journal&quot;,&quot;volume&quot;:&quot;40&quot;,&quot;container-title-short&quot;:&quot;&quot;},&quot;uris&quot;:[&quot;http://www.mendeley.com/documents/?uuid=595df467-87df-46b6-9560-49a94df2082e&quot;],&quot;isTemporary&quot;:false,&quot;legacyDesktopId&quot;:&quot;595df467-87df-46b6-9560-49a94df2082e&quot;}]},{&quot;citationID&quot;:&quot;MENDELEY_CITATION_4b6c65fd-94c4-4d76-ab6f-8a04e47b490a&quot;,&quot;properties&quot;:{&quot;noteIndex&quot;:0},&quot;isEdited&quot;:false,&quot;manualOverride&quot;:{&quot;citeprocText&quot;:&quot;(Altamimi and Neau, 2017; Pereira et al., 2017)&quot;,&quot;isManuallyOverridden&quot;:false,&quot;manualOverrideText&quot;:&quot;&quot;},&quot;citationTag&quot;:&quot;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&quot;,&quot;citationItems&quot;:[{&quot;id&quot;:&quot;2fdf9aed-4cc4-5cc0-af44-e8b989f81a3d&quot;,&quot;itemData&quot;:{&quot;DOI&quot;:&quot;10.1016/j.ejps.2016.10.016&quot;,&quot;ISSN&quot;:&quot;18790720&quot;,&quot;PMID&quot;:&quot;27746266&quot;,&quot;abstract&quot;:&quot;Currently marketed minoxidil formulations present inconveniences that range from a grease hard aspect they leave on the hair to more serious adverse reactions as scalp dryness and irritation. In this paper we propose a novel approach for minoxidil sulphate (MXS) delivery based on a solid effervescent formulation. The aim was to investigate whether the particle mechanical movement triggered by effervescence would lead to higher follicle accumulation. Preformulation studies using thermal, spectroscopic and morphological analysis demonstrated the compatibility between effervescent salts and the drug. The effervescent formulation demonstrated a 2.7-fold increase on MXS accumulation into hair follicles casts compared to the MXS solution (22.0 ± 9.7 μg/cm2 versus 8.3 ± 4.0 μg/cm2) and a significant drug increase (around 4-fold) in remaining skin (97.1 ± 29.2 μg/cm2) compared to the drug solution (23.5 ± 6.1 μg/cm2). The effervescent formulations demonstrated a prominent increase of drug permeation highly dependent on the effervescent mixture concentration in the formulation, confirming the hypothesis of effervescent reaction favoring drug penetration. Clinically, therapy effectiveness could be improved, increasing the administration interval, hence, patient compliance. More studies to investigate the follicular targeting potential and safety of new formulations are needed.&quot;,&quot;author&quot;:[{&quot;dropping-particle&quot;:&quot;&quot;,&quot;family&quot;:&quot;Pereira&quot;,&quot;given&quot;:&quot;Maíra N.&quot;,&quot;non-dropping-particle&quot;:&quot;&quot;,&quot;parse-names&quot;:false,&quot;suffix&quot;:&quot;&quot;},{&quot;dropping-particle&quot;:&quot;&quot;,&quot;family&quot;:&quot;Schulte&quot;,&quot;given&quot;:&quot;Heidi L.&quot;,&quot;non-dropping-particle&quot;:&quot;&quot;,&quot;parse-names&quot;:false,&quot;suffix&quot;:&quot;&quot;},{&quot;dropping-particle&quot;:&quot;&quot;,&quot;family&quot;:&quot;Duarte&quot;,&quot;given&quot;:&quot;Natane&quot;,&quot;non-dropping-particle&quot;:&quot;&quot;,&quot;parse-names&quot;:false,&quot;suffix&quot;:&quot;&quot;},{&quot;dropping-particle&quot;:&quot;&quot;,&quot;family&quot;:&quot;Lima&quot;,&quot;given&quot;:&quot;Eliana M.&quot;,&quot;non-dropping-particle&quot;:&quot;&quot;,&quot;parse-names&quot;:false,&quot;suffix&quot;:&quot;&quot;},{&quot;dropping-particle&quot;:&quot;&quot;,&quot;family&quot;:&quot;Sá-Barreto&quot;,&quot;given&quot;:&quot;Livia L.&quot;,&quot;non-dropping-particle&quot;:&quot;&quot;,&quot;parse-names&quot;:false,&quot;suffix&quot;:&quot;&quot;},{&quot;dropping-particle&quot;:&quot;&quot;,&quot;family&quot;:&quot;Gratieri&quot;,&quot;given&quot;:&quot;Tais&quot;,&quot;non-dropping-particle&quot;:&quot;&quot;,&quot;parse-names&quot;:false,&quot;suffix&quot;:&quot;&quot;},{&quot;dropping-particle&quot;:&quot;&quot;,&quot;family&quot;:&quot;Gelfuso&quot;,&quot;given&quot;:&quot;Guilherme M.&quot;,&quot;non-dropping-particle&quot;:&quot;&quot;,&quot;parse-names&quot;:false,&quot;suffix&quot;:&quot;&quot;},{&quot;dropping-particle&quot;:&quot;&quot;,&quot;family&quot;:&quot;Cunha-Filho&quot;,&quot;given&quot;:&quot;Marcilio S.S.&quot;,&quot;non-dropping-particle&quot;:&quot;&quot;,&quot;parse-names&quot;:false,&quot;suffix&quot;:&quot;&quot;}],&quot;container-title&quot;:&quot;European Journal of Pharmaceutical Sciences&quot;,&quot;id&quot;:&quot;2fdf9aed-4cc4-5cc0-af44-e8b989f81a3d&quot;,&quot;issued&quot;:{&quot;date-parts&quot;:[[&quot;2017&quot;]]},&quot;page&quot;:&quot;411-419&quot;,&quot;title&quot;:&quot;Solid effervescent formulations as new approach for topical minoxidil delivery&quot;,&quot;type&quot;:&quot;article-journal&quot;,&quot;volume&quot;:&quot;96&quot;,&quot;container-title-short&quot;:&quot;&quot;},&quot;uris&quot;:[&quot;http://www.mendeley.com/documents/?uuid=d111c2bd-76e3-4574-855f-23da6b005ef1&quot;],&quot;isTemporary&quot;:false,&quot;legacyDesktopId&quot;:&quot;d111c2bd-76e3-4574-855f-23da6b005ef1&quot;},{&quot;id&quot;:&quot;5e1e6ac0-daf7-56a1-a250-90e05430142f&quot;,&quot;itemData&quot;:{&quot;DOI&quot;:&quot;10.1016/j.jsps.2016.09.013&quot;,&quot;ISSN&quot;:&quot;13190164&quot;,&quot;abstract&quot;:&quot;Purpose: To evaluate the physicochemical and in vitro characteristics of solid dispersions using BCS II model drugs with Soluplus® and one of its component homopolymers, PEG 6000. Methods: Nifedipine (NIF) and sulfamethoxazole (SMX) of 99.3% and 99.5% purity, respectively, were selected as BCS II model drugs, such that an improved dissolution rate and concentration in the gastrointestinal tract should increase oral bioavailability. Soluplus® is an amorphous, tri-block, graft co-polymer with polyvinyl caprolactam, polyvinyl acetate, and polyethylene glycol (PCL:PVAc:PEG6000) in the ratio 57:30:13. PEG 6000 (BASF) is a waxy material with melting point of about 60 °C. Solid dispersions were prepared using lyophilization or spray drying techniques. Dissolution study, crystallinity content, and analysis for new chemical bond formation have been used to evaluate the dispersed materials. Results: Although each polymer improved the drug dissolution rate, dissolution from Soluplus® was slower. Enhanced dissolution rates were observed with NIF solid dispersions, but the dissolution profiles were quite different due to the selected technique, polymer, and dissolution medium. For SMX, there was similarity across the dissolution profiles despite the medium, polymer, or applied technique. Each polymer was able to maintain an elevated drug concentration over the three hour duration of the dissolution profile, i.e., supersaturation was supported by the polymer. DSC thermograms revealed no melting endotherm, suggesting that the drug is amorphous or molecularly dispersed. Conclusion: NIF and SMX solid dispersions were successfully prepared by spray drying and lyophilization using Soluplus® or PEG 6000. Each polymer enhanced the drug dissolution rate; NIF dissolution rate was improved to a greater extent. Dispersions with PEG 6000 had a faster dissolution rate due to its hydrophilic nature. DSC analysis showed that no crystalline material exists in the dispersions.&quot;,&quot;author&quot;:[{&quot;dropping-particle&quot;:&quot;&quot;,&quot;family&quot;:&quot;Altamimi&quot;,&quot;given&quot;:&quot;Mohammad A.&quot;,&quot;non-dropping-particle&quot;:&quot;&quot;,&quot;parse-names&quot;:false,&quot;suffix&quot;:&quot;&quot;},{&quot;dropping-particle&quot;:&quot;&quot;,&quot;family&quot;:&quot;Neau&quot;,&quot;given&quot;:&quot;Steven H.&quot;,&quot;non-dropping-particle&quot;:&quot;&quot;,&quot;parse-names&quot;:false,&quot;suffix&quot;:&quot;&quot;}],&quot;container-title&quot;:&quot;Saudi Pharmaceutical Journal&quot;,&quot;id&quot;:&quot;5e1e6ac0-daf7-56a1-a250-90e05430142f&quot;,&quot;issue&quot;:&quot;3&quot;,&quot;issued&quot;:{&quot;date-parts&quot;:[[&quot;2017&quot;]]},&quot;page&quot;:&quot;419-439&quot;,&quot;title&quot;:&quot;Investigation of the in vitro performance difference of drug-Soluplus® and drug-PEG 6000 dispersions when prepared using spray drying or lyophilization&quot;,&quot;type&quot;:&quot;article-journal&quot;,&quot;volume&quot;:&quot;25&quot;,&quot;container-title-short&quot;:&quot;&quot;},&quot;uris&quot;:[&quot;http://www.mendeley.com/documents/?uuid=6e6dc730-2124-4406-8221-f940ea9683a7&quot;],&quot;isTemporary&quot;:false,&quot;legacyDesktopId&quot;:&quot;6e6dc730-2124-4406-8221-f940ea9683a7&quot;}]},{&quot;citationID&quot;:&quot;MENDELEY_CITATION_9b8d85ca-6873-4e40-b768-48a47ac7067f&quot;,&quot;properties&quot;:{&quot;noteIndex&quot;:0},&quot;isEdited&quot;:false,&quot;manualOverride&quot;:{&quot;citeprocText&quot;:&quot;(Lima et al., 2020)&quot;,&quot;isManuallyOverridden&quot;:false,&quot;manualOverrideText&quot;:&quot;&quot;},&quot;citationTag&quot;:&quot;MENDELEY_CITATION_v3_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&quot;,&quot;citationItems&quot;:[{&quot;id&quot;:&quot;fd25c34a-540c-5d75-837e-ca36154d5cb2&quot;,&quot;itemData&quot;:{&quot;DOI&quot;:&quot;10.3390/pharmaceutics12080779&quot;,&quot;ISSN&quot;:&quot;19994923&quot;,&quot;abstract&quot;:&quot;Here, we assessed the feasibility of hot-melt extrusion (HME) to obtain effervescent drug products for the first time. For this, a combined mixture design was employed using paracetamol as a model drug. Extrudates were obtained under reduced torque (up to 0.3 Nm) at 100◦ C to preserve the stability of the effervescent salts. Formulations showed vigorous and rapid effervescent disintegration (&lt;3 min), adequate flow characteristics, and complete solubilization of paracetamol instantly after the effervescent reaction. Formulations containing PVPVA in the concentration range of 15–20% m/m were demonstrated to be sensitive to accelerated aging conditions, undergoing marked microstructural changes, since the capture of water led to the agglomeration and loss of their functional characteristics. HPMC matrices, in contrast, proved to be resistant to storage conditions in high relative humidity, showing superior performance to controls, including the commercial product. Moreover, the combined mixture design allowed us to identify significant interactions between the polymeric materials and the disintegrating agents, showing the formulation regions in which the responses are kept within the required levels. In conclusion, this study demonstrates that HME can bring important benefits to the elaboration of effervescent drug products, simplifying the production process and obtaining formulations with improved characteristics, such as faster disintegration, higher drug solubilization, and better stability.&quot;,&quot;author&quot;:[{&quot;dropping-particle&quot;:&quot;&quot;,&quot;family&quot;:&quot;Lima&quot;,&quot;given&quot;:&quot;Ana Luiza&quot;,&quot;non-dropping-particle&quot;:&quot;&quot;,&quot;parse-names&quot;:false,&quot;suffix&quot;:&quot;&quot;},{&quot;dropping-particle&quot;:&quot;&quot;,&quot;family&quot;:&quot;Pinho&quot;,&quot;given&quot;:&quot;Ludmila A.G.&quot;,&quot;non-dropping-particle&quot;:&quot;&quot;,&quot;parse-names&quot;:false,&quot;suffix&quot;:&quot;&quot;},{&quot;dropping-particle&quot;:&quot;&quot;,&quot;family&quot;:&quot;Chaker&quot;,&quot;given&quot;:&quot;Juliano A.&quot;,&quot;non-dropping-particle&quot;:&quot;&quot;,&quot;parse-names&quot;:false,&quot;suffix&quot;:&quot;&quot;},{&quot;dropping-particle&quot;:&quot;&quot;,&quot;family&quot;:&quot;Sa-Barreto&quot;,&quot;given&quot;:&quot;Livia L.&quot;,&quot;non-dropping-particle&quot;:&quot;&quot;,&quot;parse-names&quot;:false,&quot;suffix&quot;:&quot;&quot;},{&quot;dropping-particle&quot;:&quot;&quot;,&quot;family&quot;:&quot;Marreto&quot;,&quot;given&quot;:&quot;Ricardo Neves&quot;,&quot;non-dropping-particle&quot;:&quot;&quot;,&quot;parse-names&quot;:false,&quot;suffix&quot;:&quot;&quot;},{&quot;dropping-particle&quot;:&quot;&quot;,&quot;family&quot;:&quot;Gratieri&quot;,&quot;given&quot;:&quot;Tais&quot;,&quot;non-dropping-particle&quot;:&quot;&quot;,&quot;parse-names&quot;:false,&quot;suffix&quot;:&quot;&quot;},{&quot;dropping-particle&quot;:&quot;&quot;,&quot;family&quot;:&quot;Gelfuso&quot;,&quot;given&quot;:&quot;Guilherme M.&quot;,&quot;non-dropping-particle&quot;:&quot;&quot;,&quot;parse-names&quot;:false,&quot;suffix&quot;:&quot;&quot;},{&quot;dropping-particle&quot;:&quot;&quot;,&quot;family&quot;:&quot;Cunha-Filho&quot;,&quot;given&quot;:&quot;Marcilio&quot;,&quot;non-dropping-particle&quot;:&quot;&quot;,&quot;parse-names&quot;:false,&quot;suffix&quot;:&quot;&quot;}],&quot;container-title&quot;:&quot;Pharmaceutics&quot;,&quot;id&quot;:&quot;fd25c34a-540c-5d75-837e-ca36154d5cb2&quot;,&quot;issue&quot;:&quot;8&quot;,&quot;issued&quot;:{&quot;date-parts&quot;:[[&quot;2020&quot;]]},&quot;page&quot;:&quot;1-20&quot;,&quot;title&quot;:&quot;Hot-melt extrusion as an advantageous technology to obtain effervescent drug products&quot;,&quot;type&quot;:&quot;article-journal&quot;,&quot;volume&quot;:&quot;12&quot;,&quot;container-title-short&quot;:&quot;Pharmaceutics&quot;},&quot;uris&quot;:[&quot;http://www.mendeley.com/documents/?uuid=faef39c4-b974-4da7-a64b-08f71c53c6f2&quot;],&quot;isTemporary&quot;:false,&quot;legacyDesktopId&quot;:&quot;faef39c4-b974-4da7-a64b-08f71c53c6f2&quot;}]},{&quot;citationID&quot;:&quot;MENDELEY_CITATION_48096d26-e8e4-4277-b553-57191e2bb135&quot;,&quot;properties&quot;:{&quot;noteIndex&quot;:0},&quot;isEdited&quot;:false,&quot;manualOverride&quot;:{&quot;citeprocText&quot;:&quot;(Saokham et al., 2020)&quot;,&quot;isManuallyOverridden&quot;:false,&quot;manualOverrideText&quot;:&quot;&quot;},&quot;citationTag&quot;:&quot;MENDELEY_CITATION_v3_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&quot;,&quot;citationItems&quot;:[{&quot;id&quot;:&quot;b38918ae-7fc4-5d2c-961f-2ddea92c5e25&quot;,&quot;itemData&quot;:{&quot;DOI&quot;:&quot;10.3390/ijms21124399&quot;,&quot;ISSN&quot;:&quot;14220067&quot;,&quot;PMID&quot;:&quot;32575742&quot;,&quot;abstract&quot;:&quot;Ascorbic acid (AA) is a general antioxidant used in aqueous pharmaceutical formulations. However, in aqueous solutions, AA is unstable and easily oxidized when exposed to air, light and/or heat. Cyclodextrins are well known for their ability to form inclusion complexes with various compounds to improve their solubility and stability. Previous studies demonstrate that cyclodextrins preserve the antioxidant capacity of AA but data for γ-cyclodextrin (γCD) have not been reported. Poly(vinyl alcohol) (PVA) is a hydrophilic polymer widely used as a drug matrix in various pharmaceutical fields, but its application for drug stabilization is limited. This study aimed to investigate the protective ability of γCD on AA through the formation of ternary complexes with PVA. Binary (i.e., AA/γCD, AA/PVA and γCD/PVA) and ternary (i.e., AA/γCD/PVA) complexes were first confirmed. It was reported that those complexes were formed through interactions between the heterocyclic ring of AA, hydroxyl group of PVA and hydrophobic cavity of γCD. The hydrodynamic diameter of complexes was then studied. It was found that the diameter of γCD/PVA complexes increased with respect to the concentration of γCD. Higher γCD concentrations also resulted in increasing hydrodynamic diameters of the ternary complex. The presence of AA in ternary complexes interfered with the aggregation tendency of γCD/PVA binary complexes. Furthermore, the antioxidant capacity of AA in binary and ternary complexes was investigated. It was found that the presence of γCD preserved the antioxidant activity of AA, whereas PVA showed a contrasting effect. The influence of γCD and PVA concentration on antioxidant capacity was then studied through central composite design (CCD). Even though the concentration of γCD significantly affected the inhibition efficiency of the ternary complex, the insignificant influence of PVA could not be ignored. A promising protective ternary complex should consist of an optimized concentration of PVA and a high concentration of γCD.&quot;,&quot;author&quot;:[{&quot;dropping-particle&quot;:&quot;&quot;,&quot;family&quot;:&quot;Saokham&quot;,&quot;given&quot;:&quot;Phennapha&quot;,&quot;non-dropping-particle&quot;:&quot;&quot;,&quot;parse-names&quot;:false,&quot;suffix&quot;:&quot;&quot;},{&quot;dropping-particle&quot;:&quot;&quot;,&quot;family&quot;:&quot;Burapapadh&quot;,&quot;given&quot;:&quot;Kanokporn&quot;,&quot;non-dropping-particle&quot;:&quot;&quot;,&quot;parse-names&quot;:false,&quot;suffix&quot;:&quot;&quot;},{&quot;dropping-particle&quot;:&quot;&quot;,&quot;family&quot;:&quot;Praphanwittaya&quot;,&quot;given&quot;:&quot;Pitsiree&quot;,&quot;non-dropping-particle&quot;:&quot;&quot;,&quot;parse-names&quot;:false,&quot;suffix&quot;:&quot;&quot;},{&quot;dropping-particle&quot;:&quot;&quot;,&quot;family&quot;:&quot;Loftsson&quot;,&quot;given&quot;:&quot;Thorsteinn&quot;,&quot;non-dropping-particle&quot;:&quot;&quot;,&quot;parse-names&quot;:false,&quot;suffix&quot;:&quot;&quot;}],&quot;container-title&quot;:&quot;International Journal of Molecular Sciences&quot;,&quot;id&quot;:&quot;b38918ae-7fc4-5d2c-961f-2ddea92c5e25&quot;,&quot;issue&quot;:&quot;12&quot;,&quot;issued&quot;:{&quot;date-parts&quot;:[[&quot;2020&quot;]]},&quot;page&quot;:&quot;1-14&quot;,&quot;title&quot;:&quot;Characterization and evaluation of ternary complexes of ascorbic acid with γ-cyclodextrin and poly(Vinyl alcohol)&quot;,&quot;type&quot;:&quot;article-journal&quot;,&quot;volume&quot;:&quot;21&quot;,&quot;container-title-short&quot;:&quot;&quot;},&quot;uris&quot;:[&quot;http://www.mendeley.com/documents/?uuid=60e25f07-37ce-451e-a1fb-27c3c668e52f&quot;],&quot;isTemporary&quot;:false,&quot;legacyDesktopId&quot;:&quot;60e25f07-37ce-451e-a1fb-27c3c668e52f&quot;}]},{&quot;citationID&quot;:&quot;MENDELEY_CITATION_36c09338-bf0c-4472-810b-16919ceca304&quot;,&quot;properties&quot;:{&quot;noteIndex&quot;:0},&quot;isEdited&quot;:false,&quot;manualOverride&quot;:{&quot;citeprocText&quot;:&quot;(Granados et al., 2022)&quot;,&quot;isManuallyOverridden&quot;:false,&quot;manualOverrideText&quot;:&quot;&quot;},&quot;citationTag&quot;:&quot;MENDELEY_CITATION_v3_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&quot;,&quot;citationItems&quot;:[{&quot;id&quot;:&quot;2b459c90-f2d7-5cf9-b85a-58da4818c4aa&quot;,&quot;itemData&quot;:{&quot;DOI&quot;:&quot;10.1016/j.apt.2021.11.032&quot;,&quot;ISSN&quot;:&quot;15685527&quot;,&quot;abstract&quot;:&quot;The complexation of cyclodextrin ranks among the best methods of overcoming the unfavorable pharmacokinetic properties of naringenin (NAR). This work proposes obtaining NAR complexes with hydroxypropyl-β-cyclodextrin (HPβCD) using hot-melt extrusion (HME), a solvent-free, continuous manufacturing process. To that end, the miscibility and stability of NAR in different hydrophilic polymeric matrices were tested using thermal, morphological, and spectroscopic assays, after which inclusion complexes were prepared via HME using different plasticizers. While the cellulosic polymers showed a limited ability to dissolve NAR, Plasdone® S-630 was chemically incompatible with the drug under shearing and heating. By contrast, polyvinyl alcohol and Soluplus® demonstrated compatibility and a high capacity to interact with NAR. The polyvinyl alcohol extrudates accelerated NAR's dissolution, especially in systems containing HPβCD, which suggests high levels of the inclusion complex's formation and nearly instantaneous dissolution (28 mg/mL in 15 min) superior to other technological approaches described in the literature. Meanwhile, samples extruded with Soluplus® delayed NAR's dissolution, with rates modulated according to the drug–cyclodextrin interaction. Thus, HME proved to be a valuable, versatile method of producing cyclodextrin complexes of NAR able to support immediate and prolonged drug delivery systems depending on the formulation parameters. Many industrial advantages, including being eco-friendly and easy to scale up, make HME a promising method for exploring NAR's remarkable medical potential.&quot;,&quot;author&quot;:[{&quot;dropping-particle&quot;:&quot;&quot;,&quot;family&quot;:&quot;Granados&quot;,&quot;given&quot;:&quot;Pedro A.&quot;,&quot;non-dropping-particle&quot;:&quot;&quot;,&quot;parse-names&quot;:false,&quot;suffix&quot;:&quot;&quot;},{&quot;dropping-particle&quot;:&quot;&quot;,&quot;family&quot;:&quot;Pinho&quot;,&quot;given&quot;:&quot;Ludmila A.G.&quot;,&quot;non-dropping-particle&quot;:&quot;&quot;,&quot;parse-names&quot;:false,&quot;suffix&quot;:&quot;&quot;},{&quot;dropping-particle&quot;:&quot;&quot;,&quot;family&quot;:&quot;Sa-Barreto&quot;,&quot;given&quot;:&quot;Livia L.&quot;,&quot;non-dropping-particle&quot;:&quot;&quot;,&quot;parse-names&quot;:false,&quot;suffix&quot;:&quot;&quot;},{&quot;dropping-particle&quot;:&quot;&quot;,&quot;family&quot;:&quot;Gratieri&quot;,&quot;given&quot;:&quot;Tais&quot;,&quot;non-dropping-particle&quot;:&quot;&quot;,&quot;parse-names&quot;:false,&quot;suffix&quot;:&quot;&quot;},{&quot;dropping-particle&quot;:&quot;&quot;,&quot;family&quot;:&quot;Gelfuso&quot;,&quot;given&quot;:&quot;Guilherme M.&quot;,&quot;non-dropping-particle&quot;:&quot;&quot;,&quot;parse-names&quot;:false,&quot;suffix&quot;:&quot;&quot;},{&quot;dropping-particle&quot;:&quot;&quot;,&quot;family&quot;:&quot;Cunha-Filho&quot;,&quot;given&quot;:&quot;Marcilio&quot;,&quot;non-dropping-particle&quot;:&quot;&quot;,&quot;parse-names&quot;:false,&quot;suffix&quot;:&quot;&quot;}],&quot;container-title&quot;:&quot;Advanced Powder Technology&quot;,&quot;id&quot;:&quot;2b459c90-f2d7-5cf9-b85a-58da4818c4aa&quot;,&quot;issue&quot;:&quot;1&quot;,&quot;issued&quot;:{&quot;date-parts&quot;:[[&quot;2022&quot;]]},&quot;page&quot;:&quot;103380&quot;,&quot;publisher&quot;:&quot;Society of Powder Technology Japan&quot;,&quot;title&quot;:&quot;Application of hot-melt extrusion in the complexation of naringenin with cyclodextrin using hydrophilic polymers&quot;,&quot;type&quot;:&quot;article-journal&quot;,&quot;volume&quot;:&quot;33&quot;,&quot;container-title-short&quot;:&quot;&quot;},&quot;uris&quot;:[&quot;http://www.mendeley.com/documents/?uuid=b5f69a32-3486-4394-b7b9-eefbbe54e979&quot;],&quot;isTemporary&quot;:false,&quot;legacyDesktopId&quot;:&quot;b5f69a32-3486-4394-b7b9-eefbbe54e979&quot;}]},{&quot;citationID&quot;:&quot;MENDELEY_CITATION_22c78290-8d02-436e-bcc0-3125fe4937d5&quot;,&quot;properties&quot;:{&quot;noteIndex&quot;:0},&quot;isEdited&quot;:false,&quot;manualOverride&quot;:{&quot;citeprocText&quot;:&quot;(Malaquias et al., 2018)&quot;,&quot;isManuallyOverridden&quot;:false,&quot;manualOverrideText&quot;:&quot;&quot;},&quot;citationTag&quot;:&quot;MENDELEY_CITATION_v3_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&quot;,&quot;citationItems&quot;:[{&quot;id&quot;:&quot;02a9ddde-86be-5dd4-89ef-cb12f15372f0&quot;,&quot;itemData&quot;:{&quot;DOI&quot;:&quot;10.1016/j.carbpol.2018.01.011&quot;,&quot;ISSN&quot;:&quot;01448617&quot;,&quot;PMID&quot;:&quot;29421056&quot;,&quot;abstract&quot;:&quot;This study aimed to mask fluconazole (FLU) taste and improve its rheological properties by an efficient process of cyclodextrin complexation. For this, hot-melt extrusion (HME) was used to obtain extrudates composed of FLU, hydroxypropylcellulose, and one of two different cyclodextrins (β-cyclodextrin or hydroxypropyl-β-cyclodextrin) maintaining the drug:cyclodextrin molar ratio at 1:0.3 or 1:0.2, respectively. Samples were characterized by physicochemical tests, palatability using e-tongue and antifungal assays. Drug stability was preserved after HME, according to spectroscopy test (correlation coefficient &gt;0.9) and HPLC-assay (100–107%). Flowability was improved in HME systems with compressibility of &lt;12%. Similarly, floodability exhibited significant enhancement (dispersibility &lt;10%). Whereas extrudates of FLU containing only the polymeric matrix led to a slow drug dissolution efficiency (18.6%) and a partial drug taste masking; extrudates containing cyclodextrin accelerated FLU dissolution (dissolution efficiency approx. 30%) and provided a complete drug taste masking. Moreover, HME process could produce drug complexes with high complexation efficiency and preserve its antifungal activity.&quot;,&quot;author&quot;:[{&quot;dropping-particle&quot;:&quot;&quot;,&quot;family&quot;:&quot;Malaquias&quot;,&quot;given&quot;:&quot;Lorena F.B.&quot;,&quot;non-dropping-particle&quot;:&quot;&quot;,&quot;parse-names&quot;:false,&quot;suffix&quot;:&quot;&quot;},{&quot;dropping-particle&quot;:&quot;&quot;,&quot;family&quot;:&quot;Sá-Barreto&quot;,&quot;given&quot;:&quot;Lívia C.L.&quot;,&quot;non-dropping-particle&quot;:&quot;&quot;,&quot;parse-names&quot;:false,&quot;suffix&quot;:&quot;&quot;},{&quot;dropping-particle&quot;:&quot;&quot;,&quot;family&quot;:&quot;Freire&quot;,&quot;given&quot;:&quot;Daniel O.&quot;,&quot;non-dropping-particle&quot;:&quot;&quot;,&quot;parse-names&quot;:false,&quot;suffix&quot;:&quot;&quot;},{&quot;dropping-particle&quot;:&quot;&quot;,&quot;family&quot;:&quot;Silva&quot;,&quot;given&quot;:&quot;Izabel C.R.&quot;,&quot;non-dropping-particle&quot;:&quot;&quot;,&quot;parse-names&quot;:false,&quot;suffix&quot;:&quot;&quot;},{&quot;dropping-particle&quot;:&quot;&quot;,&quot;family&quot;:&quot;Karan&quot;,&quot;given&quot;:&quot;Kapish&quot;,&quot;non-dropping-particle&quot;:&quot;&quot;,&quot;parse-names&quot;:false,&quot;suffix&quot;:&quot;&quot;},{&quot;dropping-particle&quot;:&quot;&quot;,&quot;family&quot;:&quot;Durig&quot;,&quot;given&quot;:&quot;Thomas&quot;,&quot;non-dropping-particle&quot;:&quot;&quot;,&quot;parse-names&quot;:false,&quot;suffix&quot;:&quot;&quot;},{&quot;dropping-particle&quot;:&quot;&quot;,&quot;family&quot;:&quot;Lima&quot;,&quot;given&quot;:&quot;Eliana M.&quot;,&quot;non-dropping-particle&quot;:&quot;&quot;,&quot;parse-names&quot;:false,&quot;suffix&quot;:&quot;&quot;},{&quot;dropping-particle&quot;:&quot;&quot;,&quot;family&quot;:&quot;Marreto&quot;,&quot;given&quot;:&quot;Ricardo N.&quot;,&quot;non-dropping-particle&quot;:&quot;&quot;,&quot;parse-names&quot;:false,&quot;suffix&quot;:&quot;&quot;},{&quot;dropping-particle&quot;:&quot;&quot;,&quot;family&quot;:&quot;Gelfuso&quot;,&quot;given&quot;:&quot;Guilherme M.&quot;,&quot;non-dropping-particle&quot;:&quot;&quot;,&quot;parse-names&quot;:false,&quot;suffix&quot;:&quot;&quot;},{&quot;dropping-particle&quot;:&quot;&quot;,&quot;family&quot;:&quot;Gratieri&quot;,&quot;given&quot;:&quot;Tais&quot;,&quot;non-dropping-particle&quot;:&quot;&quot;,&quot;parse-names&quot;:false,&quot;suffix&quot;:&quot;&quot;},{&quot;dropping-particle&quot;:&quot;&quot;,&quot;family&quot;:&quot;Cunha-Filho&quot;,&quot;given&quot;:&quot;Marcilio&quot;,&quot;non-dropping-particle&quot;:&quot;&quot;,&quot;parse-names&quot;:false,&quot;suffix&quot;:&quot;&quot;}],&quot;container-title&quot;:&quot;Carbohydrate Polymers&quot;,&quot;id&quot;:&quot;02a9ddde-86be-5dd4-89ef-cb12f15372f0&quot;,&quot;issued&quot;:{&quot;date-parts&quot;:[[&quot;2018&quot;]]},&quot;page&quot;:&quot;19-26&quot;,&quot;title&quot;:&quot;Taste masking and rheology improvement of drug complexed with beta-cyclodextrin and hydroxypropyl-β-cyclodextrin by hot-melt extrusion&quot;,&quot;type&quot;:&quot;article-journal&quot;,&quot;volume&quot;:&quot;185&quot;,&quot;container-title-short&quot;:&quot;&quot;},&quot;uris&quot;:[&quot;http://www.mendeley.com/documents/?uuid=a887af76-0d1b-40a2-94ab-bda9ed227acd&quot;],&quot;isTemporary&quot;:false,&quot;legacyDesktopId&quot;:&quot;a887af76-0d1b-40a2-94ab-bda9ed227acd&quot;}]},{&quot;citationID&quot;:&quot;MENDELEY_CITATION_b7bc5b6e-ed06-418a-83d3-bf59db5210fd&quot;,&quot;properties&quot;:{&quot;noteIndex&quot;:0},&quot;isEdited&quot;:false,&quot;manualOverride&quot;:{&quot;citeprocText&quot;:&quot;(Boniatti et al., 2021; Pistone et al., 2022)&quot;,&quot;isManuallyOverridden&quot;:false,&quot;manualOverrideText&quot;:&quot;&quot;},&quot;citationTag&quot;:&quot;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&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id&quot;:&quot;0baadfee-2755-59bb-899f-c98cd48f5825&quot;,&quot;itemData&quot;:{&quot;DOI&quot;:&quot;10.3390/pharmaceutics13081114&quot;,&quot;ISSN&quot;:&quot;19994923&quot;,&quot;abstract&quot;:&quot;For the last 40 years, praziquantel has been the standard treatment for schistosomiasis, a neglected parasitic disease affecting more than 250 million people worldwide. However, there is no suitable paediatric formulation on the market, leading to off-label use and the splitting of commercial tablets for adults. In this study, we use a recently available technology, direct powder extrusion (DPE) three-dimensional printing (3DP), to prepare paediatric Printlets™ (3D printed tablets) of amorphous solid dispersions of praziquantel with Kollidon® VA 64 and surfactants (Span™ 20 or Kolliphor® SLS). Printlets were successfully printed from both pellets and powders obtained from extrudates by hot melt extrusion (HME). In vitro dissolution studies showed a greater than four-fold increase in praziquantel release, due to the formation of amorphous solid dispersions. In vitro palatability data indicated that the printlets were in the range of praziquantel tolerability, highlighting the taste masking capabilities of this technology without the need for additional taste masking excipients. This work has demonstrated the possibility of 3D printing tablets using pellets or powder forms obtained by HME, avoiding the use of filaments in fused deposition modelling 3DP. Moreover, the main formulation hurdles of praziquantel, such as low drug solubility, inadequate taste, and high and variable dose requirements, can be overcome using this technology.&quot;,&quot;author&quot;:[{&quot;dropping-particle&quot;:&quot;&quot;,&quot;family&quot;:&quot;Boniatti&quot;,&quot;given&quot;:&quot;Janine&quot;,&quot;non-dropping-particle&quot;:&quot;&quot;,&quot;parse-names&quot;:false,&quot;suffix&quot;:&quot;&quot;},{&quot;dropping-particle&quot;:&quot;&quot;,&quot;family&quot;:&quot;Januskaite&quot;,&quot;given&quot;:&quot;Patricija&quot;,&quot;non-dropping-particle&quot;:&quot;&quot;,&quot;parse-names&quot;:false,&quot;suffix&quot;:&quot;&quot;},{&quot;dropping-particle&quot;:&quot;&quot;,&quot;family&quot;:&quot;Fonseca&quot;,&quot;given&quot;:&quot;Laís B.&quot;,&quot;non-dropping-particle&quot;:&quot;da&quot;,&quot;parse-names&quot;:false,&quot;suffix&quot;:&quot;&quot;},{&quot;dropping-particle&quot;:&quot;&quot;,&quot;family&quot;:&quot;Viçosa&quot;,&quot;given&quot;:&quot;Alessandra L.&quot;,&quot;non-dropping-particle&quot;:&quot;&quot;,&quot;parse-names&quot;:false,&quot;suffix&quot;:&quot;&quot;},{&quot;dropping-particle&quot;:&quot;&quot;,&quot;family&quot;:&quot;Amendoeira&quot;,&quot;given&quot;:&quot;Fábio C.&quot;,&quot;non-dropping-particle&quot;:&quot;&quot;,&quot;parse-names&quot;:false,&quot;suffix&quot;:&quot;&quot;},{&quot;dropping-particle&quot;:&quot;&quot;,&quot;family&quot;:&quot;Tuleu&quot;,&quot;given&quot;:&quot;Catherine&quot;,&quot;non-dropping-particle&quot;:&quot;&quot;,&quot;parse-names&quot;:false,&quot;suffix&quot;:&quot;&quot;},{&quot;dropping-particle&quot;:&quot;&quot;,&quot;family&quot;:&quot;Basit&quot;,&quot;given&quot;:&quot;Abdul W.&quot;,&quot;non-dropping-particle&quot;:&quot;&quot;,&quot;parse-names&quot;:false,&quot;suffix&quot;:&quot;&quot;},{&quot;dropping-particle&quot;:&quot;&quot;,&quot;family&quot;:&quot;Goyanes&quot;,&quot;given&quot;:&quot;Alvaro&quot;,&quot;non-dropping-particle&quot;:&quot;&quot;,&quot;parse-names&quot;:false,&quot;suffix&quot;:&quot;&quot;},{&quot;dropping-particle&quot;:&quot;&quot;,&quot;family&quot;:&quot;Ré&quot;,&quot;given&quot;:&quot;Maria Inês&quot;,&quot;non-dropping-particle&quot;:&quot;&quot;,&quot;parse-names&quot;:false,&quot;suffix&quot;:&quot;&quot;}],&quot;container-title&quot;:&quot;Pharmaceutics&quot;,&quot;id&quot;:&quot;0baadfee-2755-59bb-899f-c98cd48f5825&quot;,&quot;issue&quot;:&quot;8&quot;,&quot;issued&quot;:{&quot;date-parts&quot;:[[&quot;2021&quot;]]},&quot;title&quot;:&quot;Direct powder extrusion 3d printing of praziquantel to overcome neglected disease formulation challenges in paediatric populations&quot;,&quot;type&quot;:&quot;article-journal&quot;,&quot;volume&quot;:&quot;13&quot;,&quot;container-title-short&quot;:&quot;Pharmaceutics&quot;},&quot;uris&quot;:[&quot;http://www.mendeley.com/documents/?uuid=3d19e23b-2ea1-4b4b-9a50-617c98c8dd2a&quot;],&quot;isTemporary&quot;:false,&quot;legacyDesktopId&quot;:&quot;3d19e23b-2ea1-4b4b-9a50-617c98c8dd2a&quot;}]},{&quot;citationID&quot;:&quot;MENDELEY_CITATION_d5fa9a96-7d3e-4dce-95f3-261e0fdee3a7&quot;,&quot;properties&quot;:{&quot;noteIndex&quot;:0},&quot;isEdited&quot;:false,&quot;manualOverride&quot;:{&quot;citeprocText&quot;:&quot;(Soltani et al., 2022)&quot;,&quot;isManuallyOverridden&quot;:false,&quot;manualOverrideText&quot;:&quot;&quot;},&quot;citationTag&quot;:&quot;MENDELEY_CITATION_v3_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&quot;,&quot;citationItems&quot;:[{&quot;id&quot;:&quot;f4b2a37f-b2ab-5956-b68d-dd1f4273e4a4&quot;,&quot;itemData&quot;:{&quot;DOI&quot;:&quot;10.1016/j.apt.2022.103684&quot;,&quot;ISSN&quot;:&quot;09218831&quot;,&quot;abstract&quot;:&quot;The current research attempts different approaches to overcome the poor dissolution of budesonide (a poorly water-soluble drug) from pellet formulations. Various methods such as liqui-pellet (LP) and pellets made of solid dispersion (SDP) were employed and compared to conventional pellets (CP). In SDP method, budesonide:PVP solid dispersion was prepared followed by extrusion-pelletization. Solid dispersion of budesonide-PVP was also layered to the surface of placebo pellets (LSDP). In LP technique, budesonide dispersed in PEG 400 was mixed with Avicel or Avicel:lactose and was extruded-spheronized. Pellets were evaluated for their shape, size, mechanical properties and dissolution rate. The pellets made by LSDP method were significantly harder than CP or PSDP. LP with a loading factor greater than 0.34 was very soft compared to CP and SDP. Pelletization of budesonide SD (PSDP) did not have a tremendous effect on the dissolution enhancement of budesonide compared to CP whilst LSDP showed faster drug release. In conclusion, the layering of budesonide solid dispersion on placebo pellets (LSDP) was the most promising approach for the production of pellets with the highest dissolution rate so that more than 80% of the drug was released within the first 5 min. Also this formulation had proper mechanical properties. This method has the capability to overcome the poor dissolution of budesonide associated with the pellet containing Avicel, and could be employed for the dissolution enhancement of other poorly water-soluble drugs in pellet form.&quot;,&quot;author&quot;:[{&quot;dropping-particle&quot;:&quot;&quot;,&quot;family&quot;:&quot;Soltani&quot;,&quot;given&quot;:&quot;Fatemeh&quot;,&quot;non-dropping-particle&quot;:&quot;&quot;,&quot;parse-names&quot;:false,&quot;suffix&quot;:&quot;&quot;},{&quot;dropping-particle&quot;:&quot;&quot;,&quot;family&quot;:&quot;Kamali&quot;,&quot;given&quot;:&quot;Hossein&quot;,&quot;non-dropping-particle&quot;:&quot;&quot;,&quot;parse-names&quot;:false,&quot;suffix&quot;:&quot;&quot;},{&quot;dropping-particle&quot;:&quot;&quot;,&quot;family&quot;:&quot;Akhgari&quot;,&quot;given&quot;:&quot;Abbas&quot;,&quot;non-dropping-particle&quot;:&quot;&quot;,&quot;parse-names&quot;:false,&quot;suffix&quot;:&quot;&quot;},{&quot;dropping-particle&quot;:&quot;&quot;,&quot;family&quot;:&quot;Garekani&quot;,&quot;given&quot;:&quot;Hadi Afrasiabi&quot;,&quot;non-dropping-particle&quot;:&quot;&quot;,&quot;parse-names&quot;:false,&quot;suffix&quot;:&quot;&quot;},{&quot;dropping-particle&quot;:&quot;&quot;,&quot;family&quot;:&quot;Nokhodchi&quot;,&quot;given&quot;:&quot;Ali&quot;,&quot;non-dropping-particle&quot;:&quot;&quot;,&quot;parse-names&quot;:false,&quot;suffix&quot;:&quot;&quot;},{&quot;dropping-particle&quot;:&quot;&quot;,&quot;family&quot;:&quot;Sadeghi&quot;,&quot;given&quot;:&quot;Fatemeh&quot;,&quot;non-dropping-particle&quot;:&quot;&quot;,&quot;parse-names&quot;:false,&quot;suffix&quot;:&quot;&quot;}],&quot;container-title&quot;:&quot;Advanced Powder Technology&quot;,&quot;id&quot;:&quot;f4b2a37f-b2ab-5956-b68d-dd1f4273e4a4&quot;,&quot;issue&quot;:&quot;8&quot;,&quot;issued&quot;:{&quot;date-parts&quot;:[[&quot;2022&quot;]]},&quot;page&quot;:&quot;103684&quot;,&quot;title&quot;:&quot;Different trends for preparation of budesonide pellets with enhanced dissolution rate&quot;,&quot;type&quot;:&quot;article-journal&quot;,&quot;volume&quot;:&quot;33&quot;,&quot;container-title-short&quot;:&quot;&quot;},&quot;uris&quot;:[&quot;http://www.mendeley.com/documents/?uuid=e23f0a13-eb8f-4356-9754-024643c82a18&quot;],&quot;isTemporary&quot;:false,&quot;legacyDesktopId&quot;:&quot;e23f0a13-eb8f-4356-9754-024643c82a18&quot;}]},{&quot;citationID&quot;:&quot;MENDELEY_CITATION_54b33d50-d9de-4b21-8ad7-c39cb4959b0a&quot;,&quot;properties&quot;:{&quot;noteIndex&quot;:0},&quot;isEdited&quot;:false,&quot;manualOverride&quot;:{&quot;citeprocText&quot;:&quot;(Pistone et al., 2022)&quot;,&quot;isManuallyOverridden&quot;:false,&quot;manualOverrideText&quot;:&quot;&quot;},&quot;citationTag&quot;:&quot;MENDELEY_CITATION_v3_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&quot;,&quot;citationItems&quot;:[{&quot;id&quot;:&quot;e82963b0-8108-5f99-b970-4ac3c2cf37c4&quot;,&quot;itemData&quot;:{&quot;DOI&quot;:&quot;10.1007/s13346-022-01124-7&quot;,&quot;ISBN&quot;:&quot;0123456789&quot;,&quot;ISSN&quot;:&quot;21903948&quot;,&quot;PMID&quot;:&quot;35138629&quot;,&quot;abstract&quot;:&quot;Niclosamide (NCS) is a drug that has been used as an anthelmintic and anti-parasitic drug for about 40 years. Recently, some studies have highlighted its potential in treating various tumors, allowing a repositioning of this drug. Despite its potential, NCS is a Biopharmaceutical Classification System (BCS) Class II drug and is consequently characterized by low aqueous solubility, poor dissolution rate and reduced bioavailability, which limits its applicability. In this work, we utilize a very novel technique, direct powder extrusion (DPE) 3D printing, which overcomes the limitations of previously used techniques (fused deposition modelling, FDM) to achieve direct extrusion of powder mixtures consisting of NCS, hydroxypropyl methylcellulose (HPMC, Affinisol 15 LV), hydroxypropyl-β-cyclodextrin (HP-β-CD) and polyethylene glycol (PEG) 6000. For the first time, direct printing of powder blends containing HP-β-CD was conducted. For all tablets, in vitro dissolution studies showed sustained drug release over 48 h, but for tablets containing HP-β-CD, the release was faster. Solid-state characterization studies showed that during extrusion, the drug lost its crystal structure and was evenly distributed within the polymer matrix. All printed tablets have exhibited good mechanical and physical features and a stability of the drug content for up to 3 months. This innovative printing technique has demonstrated the possibility to produce personalized pharmaceutical forms directly from powders, avoiding the use of filament used by FDM. Graphical abstract: [Figure not available: see fulltext.]&quot;,&quot;author&quot;:[{&quot;dropping-particle&quot;:&quot;&quot;,&quot;family&quot;:&quot;Pistone&quot;,&quot;given&quot;:&quot;Monica&quot;,&quot;non-dropping-particle&quot;:&quot;&quot;,&quot;parse-names&quot;:false,&quot;suffix&quot;:&quot;&quot;},{&quot;dropping-particle&quot;:&quot;&quot;,&quot;family&quot;:&quot;Racaniello&quot;,&quot;given&quot;:&quot;Giuseppe Francesco&quot;,&quot;non-dropping-particle&quot;:&quot;&quot;,&quot;parse-names&quot;:false,&quot;suffix&quot;:&quot;&quot;},{&quot;dropping-particle&quot;:&quot;&quot;,&quot;family&quot;:&quot;Arduino&quot;,&quot;given&quot;:&quot;Ilaria&quot;,&quot;non-dropping-particle&quot;:&quot;&quot;,&quot;parse-names&quot;:false,&quot;suffix&quot;:&quot;&quot;},{&quot;dropping-particle&quot;:&quot;&quot;,&quot;family&quot;:&quot;Laquintana&quot;,&quot;given&quot;:&quot;Valentino&quot;,&quot;non-dropping-particle&quot;:&quot;&quot;,&quot;parse-names&quot;:false,&quot;suffix&quot;:&quot;&quot;},{&quot;dropping-particle&quot;:&quot;&quot;,&quot;family&quot;:&quot;Lopalco&quot;,&quot;given&quot;:&quot;Antonio&quot;,&quot;non-dropping-particle&quot;:&quot;&quot;,&quot;parse-names&quot;:false,&quot;suffix&quot;:&quot;&quot;},{&quot;dropping-particle&quot;:&quot;&quot;,&quot;family&quot;:&quot;Cutrignelli&quot;,&quot;given&quot;:&quot;Annalisa&quot;,&quot;non-dropping-particle&quot;:&quot;&quot;,&quot;parse-names&quot;:false,&quot;suffix&quot;:&quot;&quot;},{&quot;dropping-particle&quot;:&quot;&quot;,&quot;family&quot;:&quot;Rizzi&quot;,&quot;given&quot;:&quot;Rosanna&quot;,&quot;non-dropping-particle&quot;:&quot;&quot;,&quot;parse-names&quot;:false,&quot;suffix&quot;:&quot;&quot;},{&quot;dropping-particle&quot;:&quot;&quot;,&quot;family&quot;:&quot;Franco&quot;,&quot;given&quot;:&quot;Massimo&quot;,&quot;non-dropping-particle&quot;:&quot;&quot;,&quot;parse-names&quot;:false,&quot;suffix&quot;:&quot;&quot;},{&quot;dropping-particle&quot;:&quot;&quot;,&quot;family&quot;:&quot;Lopedota&quot;,&quot;given&quot;:&quot;Angela&quot;,&quot;non-dropping-particle&quot;:&quot;&quot;,&quot;parse-names&quot;:false,&quot;suffix&quot;:&quot;&quot;},{&quot;dropping-particle&quot;:&quot;&quot;,&quot;family&quot;:&quot;Denora&quot;,&quot;given&quot;:&quot;Nunzio&quot;,&quot;non-dropping-particle&quot;:&quot;&quot;,&quot;parse-names&quot;:false,&quot;suffix&quot;:&quot;&quot;}],&quot;container-title&quot;:&quot;Drug Delivery and Translational Research&quot;,&quot;id&quot;:&quot;e82963b0-8108-5f99-b970-4ac3c2cf37c4&quot;,&quot;issue&quot;:&quot;0123456789&quot;,&quot;issued&quot;:{&quot;date-parts&quot;:[[&quot;2022&quot;]]},&quot;publisher&quot;:&quot;Springer US&quot;,&quot;title&quot;:&quot;Direct cyclodextrin-based powder extrusion 3D printing for one-step production of the BCS class II model drug niclosamide&quot;,&quot;type&quot;:&quot;article-journal&quot;,&quot;container-title-short&quot;:&quot;&quot;},&quot;uris&quot;:[&quot;http://www.mendeley.com/documents/?uuid=62fb5d6d-9c0f-4df0-b291-2c3819151a13&quot;],&quot;isTemporary&quot;:false,&quot;legacyDesktopId&quot;:&quot;62fb5d6d-9c0f-4df0-b291-2c3819151a13&quot;}]},{&quot;citationID&quot;:&quot;MENDELEY_CITATION_dd669979-bab0-497f-a439-67c61a73a0b2&quot;,&quot;properties&quot;:{&quot;noteIndex&quot;:0},&quot;isEdited&quot;:false,&quot;manualOverride&quot;:{&quot;citeprocText&quot;:&quot;(Palugan et al., 2021; Ribeiro et al., 2003)&quot;,&quot;isManuallyOverridden&quot;:false,&quot;manualOverrideText&quot;:&quot;&quot;},&quot;citationTag&quot;:&quot;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&quot;,&quot;citationItems&quot;:[{&quot;id&quot;:&quot;46fd738b-7020-5f81-ac5c-9efceaa1e4c4&quot;,&quot;itemData&quot;:{&quot;DOI&quot;:&quot;10.1016/S0928-0987(03)00199-4&quot;,&quot;ISSN&quot;:&quot;09280987&quot;,&quot;PMID&quot;:&quot;14592691&quot;,&quot;abstract&quot;:&quot;The studies reported in this work aimed to elucidate the inclusion complex formation of vinpocetine (VP), a poorly water-soluble base type drug, with β-cyclodextrin (βCD) and its sulfobutyl ether derivative (sulfobutyl ether β-cyclodextrin (SBEβCD)), with or without water-soluble polymers (PVP and HPMC), by thoroughly investigating their interactions in solution and solid state. Phase solubility studies were carried out to evaluate the solubilizing power of both cyclodextrins (CDs), in association with water-soluble polymers, towards VP and to determine the apparent stability constants (Kc) of the complexes. SBEβCD showed higher solubilizing efficacy toward VP than the parent βCD due to its greater solubility and complexing abilities, what was reflected in higher Kc values. Improvement in Kc values for ternary complexes clearly proves the benefit on the addition of water-soluble polymers to promote higher complexation efficiency. VP-CDs (1:1) binary and ternary systems were prepared by physical mixing, kneading, co-evaporation, and lyophilization methods. In the solid state, drug-carrier interactions were studied by scanning electron microscopy (SEM), differential scanning calorimetry (DSC), X-ray diffractometry (XRD) and Fourier-transform infrared spectroscopy. The results of these analysis suggested the formation of new solid phases, some of them in amorphous state, allowing to the conclusion of strong evidences of binary and ternary inclusion complex formation between VP, CD and water-soluble polymers, particularly for co-evaporated and lyophilized binary and ternary products. © 2003 Elsevier B.V. All rights reserved.&quot;,&quot;author&quot;:[{&quot;dropping-particle&quot;:&quot;&quot;,&quot;family&quot;:&quot;Ribeiro&quot;,&quot;given&quot;:&quot;Laura S.S.&quot;,&quot;non-dropping-particle&quot;:&quot;&quot;,&quot;parse-names&quot;:false,&quot;suffix&quot;:&quot;&quot;},{&quot;dropping-particle&quot;:&quot;&quot;,&quot;family&quot;:&quot;Ferreira&quot;,&quot;given&quot;:&quot;Domingos C.&quot;,&quot;non-dropping-particle&quot;:&quot;&quot;,&quot;parse-names&quot;:false,&quot;suffix&quot;:&quot;&quot;},{&quot;dropping-particle&quot;:&quot;&quot;,&quot;family&quot;:&quot;Veiga&quot;,&quot;given&quot;:&quot;Francisco J.B.&quot;,&quot;non-dropping-particle&quot;:&quot;&quot;,&quot;parse-names&quot;:false,&quot;suffix&quot;:&quot;&quot;}],&quot;container-title&quot;:&quot;European Journal of Pharmaceutical Sciences&quot;,&quot;id&quot;:&quot;46fd738b-7020-5f81-ac5c-9efceaa1e4c4&quot;,&quot;issue&quot;:&quot;3&quot;,&quot;issued&quot;:{&quot;date-parts&quot;:[[&quot;2003&quot;]]},&quot;page&quot;:&quot;253-266&quot;,&quot;title&quot;:&quot;Physicochemical investigation of the effects of water-soluble polymers on vinpocetine complexation with β-cyclodextrin and its sulfobutyl ether derivative in solution and solid state&quot;,&quot;type&quot;:&quot;article-journal&quot;,&quot;volume&quot;:&quot;20&quot;,&quot;container-title-short&quot;:&quot;&quot;},&quot;uris&quot;:[&quot;http://www.mendeley.com/documents/?uuid=ad26d4be-7dfb-4313-8194-874c94972cf8&quot;],&quot;isTemporary&quot;:false,&quot;legacyDesktopId&quot;:&quot;ad26d4be-7dfb-4313-8194-874c94972cf8&quot;},{&quot;id&quot;:&quot;81d1ed9a-bec7-5d4a-bc2c-fda0214dc196&quot;,&quot;itemData&quot;:{&quot;DOI&quot;:&quot;10.1016/j.ijpharm.2021.121005&quot;,&quot;ISSN&quot;:&quot;18733476&quot;,&quot;PMID&quot;:&quot;34391855&quot;,&quot;abstract&quot;:&quot;Hydrophilic matrices are of utmost interest for oral prolonged release of drugs. However, they show decreasing release rate over time, mainly due to lengthening of the diffusional pathway across the gel formed upon glass-rubber transition of the polymer. Therefore, achievement of zero-order release kinetics, which could reflect in constant drug plasma levels, is still an open issue. With the aim of improving the release performance of hydroxypropyl methylcellulose (HPMC) systems, the use of cellulolytic enzymes was proposed to aid erosion of the swollen matrix, thereby counteracting the release rate decrease particularly toward the end of the process. The effectiveness of this strategy was evaluated by studying the mass loss and drug tracer release from tableted matrices consisting of high-viscosity HPMC (Methocel® K4M), Acetaminophen and increasing amounts (0.5–10% on HPMC) of a cellulolytic product (Sternzym® C13030). A faster erosion and progressive shift to linearity of the overall release profiles were observed as a function of the enzyme concentration. Release was markedly linear from matrices containing 5 and 10% Sternzym® C13030. In partially coated matrices with these cellulase concentrations, such results were in agreement with data of erosion and swelling front movement, which exhibited early and long-lasting synchronization.&quot;,&quot;author&quot;:[{&quot;dropping-particle&quot;:&quot;&quot;,&quot;family&quot;:&quot;Palugan&quot;,&quot;given&quot;:&quot;Luca&quot;,&quot;non-dropping-particle&quot;:&quot;&quot;,&quot;parse-names&quot;:false,&quot;suffix&quot;:&quot;&quot;},{&quot;dropping-particle&quot;:&quot;&quot;,&quot;family&quot;:&quot;Filippin&quot;,&quot;given&quot;:&quot;Ilaria&quot;,&quot;non-dropping-particle&quot;:&quot;&quot;,&quot;parse-names&quot;:false,&quot;suffix&quot;:&quot;&quot;},{&quot;dropping-particle&quot;:&quot;&quot;,&quot;family&quot;:&quot;Cirilli&quot;,&quot;given&quot;:&quot;Micol&quot;,&quot;non-dropping-particle&quot;:&quot;&quot;,&quot;parse-names&quot;:false,&quot;suffix&quot;:&quot;&quot;},{&quot;dropping-particle&quot;:&quot;&quot;,&quot;family&quot;:&quot;Moutaharrik&quot;,&quot;given&quot;:&quot;Saliha&quot;,&quot;non-dropping-particle&quot;:&quot;&quot;,&quot;parse-names&quot;:false,&quot;suffix&quot;:&quot;&quot;},{&quot;dropping-particle&quot;:&quot;&quot;,&quot;family&quot;:&quot;Zema&quot;,&quot;given&quot;:&quot;Lucia&quot;,&quot;non-dropping-particle&quot;:&quot;&quot;,&quot;parse-names&quot;:false,&quot;suffix&quot;:&quot;&quot;},{&quot;dropping-particle&quot;:&quot;&quot;,&quot;family&quot;:&quot;Cerea&quot;,&quot;given&quot;:&quot;Matteo&quot;,&quot;non-dropping-particle&quot;:&quot;&quot;,&quot;parse-names&quot;:false,&quot;suffix&quot;:&quot;&quot;},{&quot;dropping-particle&quot;:&quot;&quot;,&quot;family&quot;:&quot;Maroni&quot;,&quot;given&quot;:&quot;Alessandra&quot;,&quot;non-dropping-particle&quot;:&quot;&quot;,&quot;parse-names&quot;:false,&quot;suffix&quot;:&quot;&quot;},{&quot;dropping-particle&quot;:&quot;&quot;,&quot;family&quot;:&quot;Foppoli&quot;,&quot;given&quot;:&quot;Anastasia&quot;,&quot;non-dropping-particle&quot;:&quot;&quot;,&quot;parse-names&quot;:false,&quot;suffix&quot;:&quot;&quot;},{&quot;dropping-particle&quot;:&quot;&quot;,&quot;family&quot;:&quot;Gazzaniga&quot;,&quot;given&quot;:&quot;Andrea&quot;,&quot;non-dropping-particle&quot;:&quot;&quot;,&quot;parse-names&quot;:false,&quot;suffix&quot;:&quot;&quot;}],&quot;container-title&quot;:&quot;International Journal of Pharmaceutics&quot;,&quot;id&quot;:&quot;81d1ed9a-bec7-5d4a-bc2c-fda0214dc196&quot;,&quot;issue&quot;:&quot;August&quot;,&quot;issued&quot;:{&quot;date-parts&quot;:[[&quot;2021&quot;]]},&quot;page&quot;:&quot;121005&quot;,&quot;publisher&quot;:&quot;Elsevier B.V.&quot;,&quot;title&quot;:&quot;Cellulase as an “active” excipient in prolonged-release HPMC matrices: A novel strategy towards zero-order release kinetics&quot;,&quot;type&quot;:&quot;article-journal&quot;,&quot;volume&quot;:&quot;607&quot;,&quot;container-title-short&quot;:&quot;&quot;},&quot;uris&quot;:[&quot;http://www.mendeley.com/documents/?uuid=18a30bb3-ccb1-480f-8386-381e4d448bfa&quot;],&quot;isTemporary&quot;:false,&quot;legacyDesktopId&quot;:&quot;18a30bb3-ccb1-480f-8386-381e4d448bfa&quot;}]},{&quot;citationID&quot;:&quot;MENDELEY_CITATION_8140a466-7ff4-4621-b407-c6daecf81de1&quot;,&quot;properties&quot;:{&quot;noteIndex&quot;:0},&quot;isEdited&quot;:false,&quot;manualOverride&quot;:{&quot;citeprocText&quot;:&quot;(Xi et al., 2020)&quot;,&quot;isManuallyOverridden&quot;:false,&quot;manualOverrideText&quot;:&quot;&quot;},&quot;citationTag&quot;:&quot;MENDELEY_CITATION_v3_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&quot;,&quot;citationItems&quot;:[{&quot;id&quot;:&quot;c5a2a434-a16a-5b26-9e3c-6c6efe9fde38&quot;,&quot;itemData&quot;:{&quot;DOI&quot;:&quot;10.1007/s11095-020-2772-7&quot;,&quot;ISSN&quot;:&quot;1573904X&quot;,&quot;PMID&quot;:&quot;32185516&quot;,&quot;abstract&quot;:&quot;Purpose: While including amorphous solid dispersion (ASD) in tablet formulations is increasingly common, tablets containing high ASD loading are associated with slow disintegration, which presents a challenge to control pill burden for less potent compounds. Methods: We use a model ASD, composed of a hydrophobic drug with copovidone and a non-ionic surfactant, to explore formulation options that can prevent slow disintegration. Results: In addition to the ASD loading, the pH of the disintegration medium and the inclusion of inorganic salts in the tablet also have an impact on the tablet disintegration time. Certain kosmotropic salts, when added in the formulation, can significantly accelerate tablet disintegration, though the rank order in their effectiveness does not exactly follow the Hofmeister series at pH 1.8. The particle size and dissolution rate of the salt can contribute to its overall effectiveness. Conclusion: We provided a mechanistic explanation of the disintegration process: fast-dissolving kosmotropic salt results in a concentrated salt solution inside the restrained tablet matrix, thus inhibiting the dissolution of copovidone and preventing polymer gelling which is the main cause leading the slow disintegration. The outcome of this study has enabled the design of a higher ASD loading platform formulation for copovidone based ASD. [Figure not available: see fulltext.].&quot;,&quot;author&quot;:[{&quot;dropping-particle&quot;:&quot;&quot;,&quot;family&quot;:&quot;Xi&quot;,&quot;given&quot;:&quot;Hanmi&quot;,&quot;non-dropping-particle&quot;:&quot;&quot;,&quot;parse-names&quot;:false,&quot;suffix&quot;:&quot;&quot;},{&quot;dropping-particle&quot;:&quot;&quot;,&quot;family&quot;:&quot;Ren&quot;,&quot;given&quot;:&quot;Jie&quot;,&quot;non-dropping-particle&quot;:&quot;&quot;,&quot;parse-names&quot;:false,&quot;suffix&quot;:&quot;&quot;},{&quot;dropping-particle&quot;:&quot;&quot;,&quot;family&quot;:&quot;Novak&quot;,&quot;given&quot;:&quot;Julie M.&quot;,&quot;non-dropping-particle&quot;:&quot;&quot;,&quot;parse-names&quot;:false,&quot;suffix&quot;:&quot;&quot;},{&quot;dropping-particle&quot;:&quot;&quot;,&quot;family&quot;:&quot;Kemp&quot;,&quot;given&quot;:&quot;Eric&quot;,&quot;non-dropping-particle&quot;:&quot;&quot;,&quot;parse-names&quot;:false,&quot;suffix&quot;:&quot;&quot;},{&quot;dropping-particle&quot;:&quot;&quot;,&quot;family&quot;:&quot;Johnson&quot;,&quot;given&quot;:&quot;Gregory&quot;,&quot;non-dropping-particle&quot;:&quot;&quot;,&quot;parse-names&quot;:false,&quot;suffix&quot;:&quot;&quot;},{&quot;dropping-particle&quot;:&quot;&quot;,&quot;family&quot;:&quot;Klinzing&quot;,&quot;given&quot;:&quot;Gerard&quot;,&quot;non-dropping-particle&quot;:&quot;&quot;,&quot;parse-names&quot;:false,&quot;suffix&quot;:&quot;&quot;},{&quot;dropping-particle&quot;:&quot;&quot;,&quot;family&quot;:&quot;Johnson&quot;,&quot;given&quot;:&quot;Mary Ann&quot;,&quot;non-dropping-particle&quot;:&quot;&quot;,&quot;parse-names&quot;:false,&quot;suffix&quot;:&quot;&quot;},{&quot;dropping-particle&quot;:&quot;&quot;,&quot;family&quot;:&quot;Xu&quot;,&quot;given&quot;:&quot;Wei&quot;,&quot;non-dropping-particle&quot;:&quot;&quot;,&quot;parse-names&quot;:false,&quot;suffix&quot;:&quot;&quot;}],&quot;container-title&quot;:&quot;Pharmaceutical Research&quot;,&quot;id&quot;:&quot;c5a2a434-a16a-5b26-9e3c-6c6efe9fde38&quot;,&quot;issue&quot;:&quot;4&quot;,&quot;issued&quot;:{&quot;date-parts&quot;:[[&quot;2020&quot;]]},&quot;title&quot;:&quot;The Effect of Inorganic Salt on Disintegration of Tablets with High Loading of Amorphous Solid Dispersion Containing Copovidone&quot;,&quot;type&quot;:&quot;article-journal&quot;,&quot;volume&quot;:&quot;37&quot;,&quot;container-title-short&quot;:&quot;&quot;},&quot;uris&quot;:[&quot;http://www.mendeley.com/documents/?uuid=3a1ff67d-2b78-4c2f-9aee-0c53445a0cab&quot;],&quot;isTemporary&quot;:false,&quot;legacyDesktopId&quot;:&quot;3a1ff67d-2b78-4c2f-9aee-0c53445a0cab&quot;}]},{&quot;citationID&quot;:&quot;MENDELEY_CITATION_8a26d875-26dd-4c1d-aa85-5956b2255af0&quot;,&quot;properties&quot;:{&quot;noteIndex&quot;:0},&quot;isEdited&quot;:false,&quot;manualOverride&quot;:{&quot;citeprocText&quot;:&quot;(Xi et al., 2020)&quot;,&quot;isManuallyOverridden&quot;:false,&quot;manualOverrideText&quot;:&quot;&quot;},&quot;citationTag&quot;:&quot;MENDELEY_CITATION_v3_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&quot;,&quot;citationItems&quot;:[{&quot;id&quot;:&quot;c5a2a434-a16a-5b26-9e3c-6c6efe9fde38&quot;,&quot;itemData&quot;:{&quot;DOI&quot;:&quot;10.1007/s11095-020-2772-7&quot;,&quot;ISSN&quot;:&quot;1573904X&quot;,&quot;PMID&quot;:&quot;32185516&quot;,&quot;abstract&quot;:&quot;Purpose: While including amorphous solid dispersion (ASD) in tablet formulations is increasingly common, tablets containing high ASD loading are associated with slow disintegration, which presents a challenge to control pill burden for less potent compounds. Methods: We use a model ASD, composed of a hydrophobic drug with copovidone and a non-ionic surfactant, to explore formulation options that can prevent slow disintegration. Results: In addition to the ASD loading, the pH of the disintegration medium and the inclusion of inorganic salts in the tablet also have an impact on the tablet disintegration time. Certain kosmotropic salts, when added in the formulation, can significantly accelerate tablet disintegration, though the rank order in their effectiveness does not exactly follow the Hofmeister series at pH 1.8. The particle size and dissolution rate of the salt can contribute to its overall effectiveness. Conclusion: We provided a mechanistic explanation of the disintegration process: fast-dissolving kosmotropic salt results in a concentrated salt solution inside the restrained tablet matrix, thus inhibiting the dissolution of copovidone and preventing polymer gelling which is the main cause leading the slow disintegration. The outcome of this study has enabled the design of a higher ASD loading platform formulation for copovidone based ASD. [Figure not available: see fulltext.].&quot;,&quot;author&quot;:[{&quot;dropping-particle&quot;:&quot;&quot;,&quot;family&quot;:&quot;Xi&quot;,&quot;given&quot;:&quot;Hanmi&quot;,&quot;non-dropping-particle&quot;:&quot;&quot;,&quot;parse-names&quot;:false,&quot;suffix&quot;:&quot;&quot;},{&quot;dropping-particle&quot;:&quot;&quot;,&quot;family&quot;:&quot;Ren&quot;,&quot;given&quot;:&quot;Jie&quot;,&quot;non-dropping-particle&quot;:&quot;&quot;,&quot;parse-names&quot;:false,&quot;suffix&quot;:&quot;&quot;},{&quot;dropping-particle&quot;:&quot;&quot;,&quot;family&quot;:&quot;Novak&quot;,&quot;given&quot;:&quot;Julie M.&quot;,&quot;non-dropping-particle&quot;:&quot;&quot;,&quot;parse-names&quot;:false,&quot;suffix&quot;:&quot;&quot;},{&quot;dropping-particle&quot;:&quot;&quot;,&quot;family&quot;:&quot;Kemp&quot;,&quot;given&quot;:&quot;Eric&quot;,&quot;non-dropping-particle&quot;:&quot;&quot;,&quot;parse-names&quot;:false,&quot;suffix&quot;:&quot;&quot;},{&quot;dropping-particle&quot;:&quot;&quot;,&quot;family&quot;:&quot;Johnson&quot;,&quot;given&quot;:&quot;Gregory&quot;,&quot;non-dropping-particle&quot;:&quot;&quot;,&quot;parse-names&quot;:false,&quot;suffix&quot;:&quot;&quot;},{&quot;dropping-particle&quot;:&quot;&quot;,&quot;family&quot;:&quot;Klinzing&quot;,&quot;given&quot;:&quot;Gerard&quot;,&quot;non-dropping-particle&quot;:&quot;&quot;,&quot;parse-names&quot;:false,&quot;suffix&quot;:&quot;&quot;},{&quot;dropping-particle&quot;:&quot;&quot;,&quot;family&quot;:&quot;Johnson&quot;,&quot;given&quot;:&quot;Mary Ann&quot;,&quot;non-dropping-particle&quot;:&quot;&quot;,&quot;parse-names&quot;:false,&quot;suffix&quot;:&quot;&quot;},{&quot;dropping-particle&quot;:&quot;&quot;,&quot;family&quot;:&quot;Xu&quot;,&quot;given&quot;:&quot;Wei&quot;,&quot;non-dropping-particle&quot;:&quot;&quot;,&quot;parse-names&quot;:false,&quot;suffix&quot;:&quot;&quot;}],&quot;container-title&quot;:&quot;Pharmaceutical Research&quot;,&quot;id&quot;:&quot;c5a2a434-a16a-5b26-9e3c-6c6efe9fde38&quot;,&quot;issue&quot;:&quot;4&quot;,&quot;issued&quot;:{&quot;date-parts&quot;:[[&quot;2020&quot;]]},&quot;title&quot;:&quot;The Effect of Inorganic Salt on Disintegration of Tablets with High Loading of Amorphous Solid Dispersion Containing Copovidone&quot;,&quot;type&quot;:&quot;article-journal&quot;,&quot;volume&quot;:&quot;37&quot;,&quot;container-title-short&quot;:&quot;&quot;},&quot;uris&quot;:[&quot;http://www.mendeley.com/documents/?uuid=3a1ff67d-2b78-4c2f-9aee-0c53445a0cab&quot;],&quot;isTemporary&quot;:false,&quot;legacyDesktopId&quot;:&quot;3a1ff67d-2b78-4c2f-9aee-0c53445a0cab&quot;}]},{&quot;citationID&quot;:&quot;MENDELEY_CITATION_255ea7b6-932e-4e02-ba5a-109d1cef40f9&quot;,&quot;properties&quot;:{&quot;noteIndex&quot;:0},&quot;isEdited&quot;:false,&quot;manualOverride&quot;:{&quot;citeprocText&quot;:&quot;(Takano et al., 2020)&quot;,&quot;isManuallyOverridden&quot;:false,&quot;manualOverrideText&quot;:&quot;&quot;},&quot;citationTag&quot;:&quot;MENDELEY_CITATION_v3_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&quot;,&quot;citationItems&quot;:[{&quot;id&quot;:&quot;38bf1da6-3659-5cb7-8f67-03f67ad0b00a&quot;,&quot;itemData&quot;:{&quot;DOI&quot;:&quot;10.1021/acs.molpharmaceut.9b01109&quot;,&quot;ISSN&quot;:&quot;15438392&quot;,&quot;PMID&quot;:&quot;31794228&quot;,&quot;abstract&quot;:&quot;Amorphous solid dispersions (ASD) are increasingly used to improve the oral bioavailability of poorly water-soluble compounds. However, hydrophilic polymers in ASD have high water-binding properties and, upon water contact, they often form a gel on the surface of the tablet, impacting the rate and extent of drug release. Most inorganic salts decrease water solubility of organic solutes, changing the gel properties of hydrophilic polymers. In this study, the effect of inorganic salts on drug release from a tablet formulation containing an itraconazole (ITZ)-hydroxypropyl methyl cellulose (HPMC) extrudate was investigated. The cloud point of a 1% HPMC solution with and without inorganic salts (KCl, KH2PO4, KHCO3, and potassium iodate (KI)) was determined to classify the salts according to their salting-out or salting-in effect. A kosmotropic effect on HPMC was observed for KCl, KH2PO4, and KHCO3, whereas KI exhibited a chaotropic effect. To prove the effect of these salts on drug release, tablets containing 66% of ITZ-HPMC extrudate (20:80 w/w %), 4% croscarmellose sodium, 30% microcrystalline cellulose, and different types and amounts of KHCO3, KH2PO4, KCl, and KI were compressed (same solid fraction of 0.83-0.85). Tablets without salts showed a slow release and low peak concentrations during dissolution in simulated gastric fluids. By adding the kosmotropic salts to the tablets, the rate and extent of drug release were increased, whereas the chaotropic anion iodide had no effect. The effect was pronounced even with the addition of as little as 2% of inorganic salts and tended to increase with the increasing amount of salt in the formulation. Tablets without salt stored under either dry or humid conditions exhibited a large difference in dissolution profiles, whereas little variation was observed for tablets with kosmotropic salts. In conclusion, the effect of inorganic salts was mechanistically clarified on ASD containing commonly used HPMC. This approach can be beneficial to successfully develop robust formulations containing ASD.&quot;,&quot;author&quot;:[{&quot;dropping-particle&quot;:&quot;&quot;,&quot;family&quot;:&quot;Takano&quot;,&quot;given&quot;:&quot;Ryusuke&quot;,&quot;non-dropping-particle&quot;:&quot;&quot;,&quot;parse-names&quot;:false,&quot;suffix&quot;:&quot;&quot;},{&quot;dropping-particle&quot;:&quot;&quot;,&quot;family&quot;:&quot;Maurer&quot;,&quot;given&quot;:&quot;Reto&quot;,&quot;non-dropping-particle&quot;:&quot;&quot;,&quot;parse-names&quot;:false,&quot;suffix&quot;:&quot;&quot;},{&quot;dropping-particle&quot;:&quot;&quot;,&quot;family&quot;:&quot;Jacob&quot;,&quot;given&quot;:&quot;Laurence&quot;,&quot;non-dropping-particle&quot;:&quot;&quot;,&quot;parse-names&quot;:false,&quot;suffix&quot;:&quot;&quot;},{&quot;dropping-particle&quot;:&quot;&quot;,&quot;family&quot;:&quot;Stowasser&quot;,&quot;given&quot;:&quot;Frank&quot;,&quot;non-dropping-particle&quot;:&quot;&quot;,&quot;parse-names&quot;:false,&quot;suffix&quot;:&quot;&quot;},{&quot;dropping-particle&quot;:&quot;&quot;,&quot;family&quot;:&quot;Stillhart&quot;,&quot;given&quot;:&quot;Cordula&quot;,&quot;non-dropping-particle&quot;:&quot;&quot;,&quot;parse-names&quot;:false,&quot;suffix&quot;:&quot;&quot;},{&quot;dropping-particle&quot;:&quot;&quot;,&quot;family&quot;:&quot;Page&quot;,&quot;given&quot;:&quot;Susanne&quot;,&quot;non-dropping-particle&quot;:&quot;&quot;,&quot;parse-names&quot;:false,&quot;suffix&quot;:&quot;&quot;}],&quot;container-title&quot;:&quot;Molecular Pharmaceutics&quot;,&quot;id&quot;:&quot;38bf1da6-3659-5cb7-8f67-03f67ad0b00a&quot;,&quot;issue&quot;:&quot;8&quot;,&quot;issued&quot;:{&quot;date-parts&quot;:[[&quot;2020&quot;]]},&quot;page&quot;:&quot;2768-2778&quot;,&quot;title&quot;:&quot;Formulating Amorphous Solid Dispersions: Impact of Inorganic Salts on Drug Release from Tablets Containing Itraconazole-HPMC Extrudate&quot;,&quot;type&quot;:&quot;article-journal&quot;,&quot;volume&quot;:&quot;17&quot;,&quot;container-title-short&quot;:&quot;&quot;},&quot;uris&quot;:[&quot;http://www.mendeley.com/documents/?uuid=544d561b-ad4a-441b-a71c-f0c63d0a9e8a&quot;],&quot;isTemporary&quot;:false,&quot;legacyDesktopId&quot;:&quot;544d561b-ad4a-441b-a71c-f0c63d0a9e8a&quot;}]},{&quot;citationID&quot;:&quot;MENDELEY_CITATION_ea6689d7-62d0-4961-98c9-7f089f274ad8&quot;,&quot;properties&quot;:{&quot;noteIndex&quot;:0},&quot;isEdited&quot;:false,&quot;manualOverride&quot;:{&quot;citeprocText&quot;:&quot;(Bibby et al., 2000; Pose-Vilarnovo et al., 2004)&quot;,&quot;isManuallyOverridden&quot;:false,&quot;manualOverrideText&quot;:&quot;&quot;},&quot;citationTag&quot;:&quot;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&quot;,&quot;citationItems&quot;:[{&quot;id&quot;:&quot;b496f6e0-2b58-5c73-82c8-87d96d271fce&quot;,&quot;itemData&quot;:{&quot;DOI&quot;:&quot;10.1016/S0378-5173(00)00335-5&quot;,&quot;ISSN&quot;:&quot;03785173&quot;,&quot;PMID&quot;:&quot;10704788&quot;,&quot;abstract&quot;:&quot;For many drug candidates a modified in vivo drug release is desired to improve efficacy, sustain effect or minimise toxicity. Polymeric delivery systems, such as microspheres, nanospheres and polymeric films, have been extensively researched in an attempt to achieve modified drug release. Cyclodextrins offer an alternative approach. These cyclic oligosaccharides have the ability to form non-covalent complexes with a number of drugs and in so doing alter their physicochemical properties. In addition, the primary and secondary hydroxyl groups of the native (α, β, γ-) cyclodextrins are potential sites for chemical modification. It follows that the incorporation of these agents into polymeric drug delivery systems, as physical mixtures, covalently bound conjugates or cross-linking agents, frequently permits a greater degree of control of drug release. This paper reviews the incorporation of various cyclodextrins into polymeric formulations. The mechanisms by which cyclodextrin/polymer formulations act to modify drug release are considered. (C) 2000 Published by Elsevier Science B.V.&quot;,&quot;author&quot;:[{&quot;dropping-particle&quot;:&quot;&quot;,&quot;family&quot;:&quot;Bibby&quot;,&quot;given&quot;:&quot;David C.&quot;,&quot;non-dropping-particle&quot;:&quot;&quot;,&quot;parse-names&quot;:false,&quot;suffix&quot;:&quot;&quot;},{&quot;dropping-particle&quot;:&quot;&quot;,&quot;family&quot;:&quot;Davies&quot;,&quot;given&quot;:&quot;Nigel M.&quot;,&quot;non-dropping-particle&quot;:&quot;&quot;,&quot;parse-names&quot;:false,&quot;suffix&quot;:&quot;&quot;},{&quot;dropping-particle&quot;:&quot;&quot;,&quot;family&quot;:&quot;Tucker&quot;,&quot;given&quot;:&quot;Ian G.&quot;,&quot;non-dropping-particle&quot;:&quot;&quot;,&quot;parse-names&quot;:false,&quot;suffix&quot;:&quot;&quot;}],&quot;container-title&quot;:&quot;International Journal of Pharmaceutics&quot;,&quot;id&quot;:&quot;b496f6e0-2b58-5c73-82c8-87d96d271fce&quot;,&quot;issue&quot;:&quot;1-2&quot;,&quot;issued&quot;:{&quot;date-parts&quot;:[[&quot;2000&quot;]]},&quot;page&quot;:&quot;1-11&quot;,&quot;title&quot;:&quot;Mechanisms by which cyclodextrins modify drug release from polymeric drug delivery systems&quot;,&quot;type&quot;:&quot;article-journal&quot;,&quot;volume&quot;:&quot;197&quot;,&quot;container-title-short&quot;:&quot;&quot;},&quot;uris&quot;:[&quot;http://www.mendeley.com/documents/?uuid=c7aa6dc6-987f-4bca-bb71-798695ab5c6c&quot;],&quot;isTemporary&quot;:false,&quot;legacyDesktopId&quot;:&quot;c7aa6dc6-987f-4bca-bb71-798695ab5c6c&quot;},{&quot;id&quot;:&quot;6cd76e34-eceb-5504-ac20-d215783623a4&quot;,&quot;itemData&quot;:{&quot;DOI&quot;:&quot;10.1016/j.jconrel.2003.10.002&quot;,&quot;ISSN&quot;:&quot;01683659&quot;,&quot;PMID&quot;:&quot;14744486&quot;,&quot;abstract&quot;:&quot;This paper reports on the effect of β-cyclodextrin (β-CD) and hydroxypropyl-β-cyclodextrin (HP-β-CD) on the diffusion and the release behavior of diclofenac sodium and sulphamethizole from HPMC K4M gels and matrix tablets. The gels were prepared with 0.5-2.0% polymer and different drug/CD mole ratios, and their viscosity, cloud point and drug diffusion coefficients were estimated. No differences in cloud point were observed. The viscosity of the gels strongly depended on HPMC proportions (from 0.7 to 100 mPa·s), which affected to a lesser extent the resistance to the diffusion of the drugs (D values from 60×10-6 to 5×10-6 cm2/s). The influence of CD on diffusion was particularly evident in gels prepared with polymer proportions above its entanglement concentration, 2.0% HPMC K4M. In these systems, while high drug/CD proportions enhanced the diffusivity preventing polymer/drug hydrophobic interactions, low drug/CD ratios hindered it. An excess of free CD, especially the bulky HP-β-CD, made the diffusion of the complexes in the relatively low mesh size 2% polymer network more difficult. In the case of tablets, CD plays an additional role as dissolution rate promoter. To evaluate to what extent the balance between the increase in dissolution rate and the decrease in diffusion rate induced by CD determines drug release, matrix tablets were prepared by direct compression of 100 mg drug and 400 mg polymer/CD/lactose blends, whose composition was chosen following a simplex centroid design. A higher CD/lactose ratio significantly increased the release rate of hydrophobic drugs (sulphamethizole), but decreased the release rate of hydrophilic drugs (diclofenac sodium), indicating the predominance of a different contribution depending on the hydrophilicity of the drug. Therefore, the use of CD derivatives may be particularly useful to modulate drug release from HPMC gels and matrix tablets; the influence of these additives being dependent on the nature of the drug and on the molecular size and hydrophilic character of the CD used. © 2003 Elsevier B.V. All rights reserved.&quot;,&quot;author&quot;:[{&quot;dropping-particle&quot;:&quot;&quot;,&quot;family&quot;:&quot;Pose-Vilarnovo&quot;,&quot;given&quot;:&quot;Beatriz&quot;,&quot;non-dropping-particle&quot;:&quot;&quot;,&quot;parse-names&quot;:false,&quot;suffix&quot;:&quot;&quot;},{&quot;dropping-particle&quot;:&quot;&quot;,&quot;family&quot;:&quot;Rodríguez-Tenreiro&quot;,&quot;given&quot;:&quot;Carmen&quot;,&quot;non-dropping-particle&quot;:&quot;&quot;,&quot;parse-names&quot;:false,&quot;suffix&quot;:&quot;&quot;},{&quot;dropping-particle&quot;:&quot;&quot;,&quot;family&quot;:&quot;Rosa Dos Santos&quot;,&quot;given&quot;:&quot;José Fernando&quot;,&quot;non-dropping-particle&quot;:&quot;&quot;,&quot;parse-names&quot;:false,&quot;suffix&quot;:&quot;&quot;},{&quot;dropping-particle&quot;:&quot;&quot;,&quot;family&quot;:&quot;Vázquez-Doval&quot;,&quot;given&quot;:&quot;Juan&quot;,&quot;non-dropping-particle&quot;:&quot;&quot;,&quot;parse-names&quot;:false,&quot;suffix&quot;:&quot;&quot;},{&quot;dropping-particle&quot;:&quot;&quot;,&quot;family&quot;:&quot;Concheiro&quot;,&quot;given&quot;:&quot;Angel&quot;,&quot;non-dropping-particle&quot;:&quot;&quot;,&quot;parse-names&quot;:false,&quot;suffix&quot;:&quot;&quot;},{&quot;dropping-particle&quot;:&quot;&quot;,&quot;family&quot;:&quot;Alvarez-Lorenzo&quot;,&quot;given&quot;:&quot;Carmen&quot;,&quot;non-dropping-particle&quot;:&quot;&quot;,&quot;parse-names&quot;:false,&quot;suffix&quot;:&quot;&quot;},{&quot;dropping-particle&quot;:&quot;&quot;,&quot;family&quot;:&quot;Torres-Labandeira&quot;,&quot;given&quot;:&quot;Juan J.&quot;,&quot;non-dropping-particle&quot;:&quot;&quot;,&quot;parse-names&quot;:false,&quot;suffix&quot;:&quot;&quot;}],&quot;container-title&quot;:&quot;Journal of Controlled Release&quot;,&quot;id&quot;:&quot;6cd76e34-eceb-5504-ac20-d215783623a4&quot;,&quot;issue&quot;:&quot;2-3&quot;,&quot;issued&quot;:{&quot;date-parts&quot;:[[&quot;2004&quot;]]},&quot;page&quot;:&quot;351-363&quot;,&quot;title&quot;:&quot;Modulating drug release with cyclodextrins in hydroxypropyl methylcellulose gels and tablets&quot;,&quot;type&quot;:&quot;article-journal&quot;,&quot;volume&quot;:&quot;94&quot;,&quot;container-title-short&quot;:&quot;&quot;},&quot;uris&quot;:[&quot;http://www.mendeley.com/documents/?uuid=000f4809-cd66-4793-b0b4-57cf7836f512&quot;],&quot;isTemporary&quot;:false,&quot;legacyDesktopId&quot;:&quot;000f4809-cd66-4793-b0b4-57cf7836f512&quot;}]},{&quot;citationID&quot;:&quot;MENDELEY_CITATION_3874b1da-d8b3-4416-9215-8a5aa397c0e1&quot;,&quot;properties&quot;:{&quot;noteIndex&quot;:0},&quot;isEdited&quot;:false,&quot;manualOverride&quot;:{&quot;citeprocText&quot;:&quot;(Takano et al., 2020)&quot;,&quot;isManuallyOverridden&quot;:false,&quot;manualOverrideText&quot;:&quot;&quot;},&quot;citationTag&quot;:&quot;MENDELEY_CITATION_v3_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&quot;,&quot;citationItems&quot;:[{&quot;id&quot;:&quot;38bf1da6-3659-5cb7-8f67-03f67ad0b00a&quot;,&quot;itemData&quot;:{&quot;DOI&quot;:&quot;10.1021/acs.molpharmaceut.9b01109&quot;,&quot;ISSN&quot;:&quot;15438392&quot;,&quot;PMID&quot;:&quot;31794228&quot;,&quot;abstract&quot;:&quot;Amorphous solid dispersions (ASD) are increasingly used to improve the oral bioavailability of poorly water-soluble compounds. However, hydrophilic polymers in ASD have high water-binding properties and, upon water contact, they often form a gel on the surface of the tablet, impacting the rate and extent of drug release. Most inorganic salts decrease water solubility of organic solutes, changing the gel properties of hydrophilic polymers. In this study, the effect of inorganic salts on drug release from a tablet formulation containing an itraconazole (ITZ)-hydroxypropyl methyl cellulose (HPMC) extrudate was investigated. The cloud point of a 1% HPMC solution with and without inorganic salts (KCl, KH2PO4, KHCO3, and potassium iodate (KI)) was determined to classify the salts according to their salting-out or salting-in effect. A kosmotropic effect on HPMC was observed for KCl, KH2PO4, and KHCO3, whereas KI exhibited a chaotropic effect. To prove the effect of these salts on drug release, tablets containing 66% of ITZ-HPMC extrudate (20:80 w/w %), 4% croscarmellose sodium, 30% microcrystalline cellulose, and different types and amounts of KHCO3, KH2PO4, KCl, and KI were compressed (same solid fraction of 0.83-0.85). Tablets without salts showed a slow release and low peak concentrations during dissolution in simulated gastric fluids. By adding the kosmotropic salts to the tablets, the rate and extent of drug release were increased, whereas the chaotropic anion iodide had no effect. The effect was pronounced even with the addition of as little as 2% of inorganic salts and tended to increase with the increasing amount of salt in the formulation. Tablets without salt stored under either dry or humid conditions exhibited a large difference in dissolution profiles, whereas little variation was observed for tablets with kosmotropic salts. In conclusion, the effect of inorganic salts was mechanistically clarified on ASD containing commonly used HPMC. This approach can be beneficial to successfully develop robust formulations containing ASD.&quot;,&quot;author&quot;:[{&quot;dropping-particle&quot;:&quot;&quot;,&quot;family&quot;:&quot;Takano&quot;,&quot;given&quot;:&quot;Ryusuke&quot;,&quot;non-dropping-particle&quot;:&quot;&quot;,&quot;parse-names&quot;:false,&quot;suffix&quot;:&quot;&quot;},{&quot;dropping-particle&quot;:&quot;&quot;,&quot;family&quot;:&quot;Maurer&quot;,&quot;given&quot;:&quot;Reto&quot;,&quot;non-dropping-particle&quot;:&quot;&quot;,&quot;parse-names&quot;:false,&quot;suffix&quot;:&quot;&quot;},{&quot;dropping-particle&quot;:&quot;&quot;,&quot;family&quot;:&quot;Jacob&quot;,&quot;given&quot;:&quot;Laurence&quot;,&quot;non-dropping-particle&quot;:&quot;&quot;,&quot;parse-names&quot;:false,&quot;suffix&quot;:&quot;&quot;},{&quot;dropping-particle&quot;:&quot;&quot;,&quot;family&quot;:&quot;Stowasser&quot;,&quot;given&quot;:&quot;Frank&quot;,&quot;non-dropping-particle&quot;:&quot;&quot;,&quot;parse-names&quot;:false,&quot;suffix&quot;:&quot;&quot;},{&quot;dropping-particle&quot;:&quot;&quot;,&quot;family&quot;:&quot;Stillhart&quot;,&quot;given&quot;:&quot;Cordula&quot;,&quot;non-dropping-particle&quot;:&quot;&quot;,&quot;parse-names&quot;:false,&quot;suffix&quot;:&quot;&quot;},{&quot;dropping-particle&quot;:&quot;&quot;,&quot;family&quot;:&quot;Page&quot;,&quot;given&quot;:&quot;Susanne&quot;,&quot;non-dropping-particle&quot;:&quot;&quot;,&quot;parse-names&quot;:false,&quot;suffix&quot;:&quot;&quot;}],&quot;container-title&quot;:&quot;Molecular Pharmaceutics&quot;,&quot;id&quot;:&quot;38bf1da6-3659-5cb7-8f67-03f67ad0b00a&quot;,&quot;issue&quot;:&quot;8&quot;,&quot;issued&quot;:{&quot;date-parts&quot;:[[&quot;2020&quot;]]},&quot;page&quot;:&quot;2768-2778&quot;,&quot;title&quot;:&quot;Formulating Amorphous Solid Dispersions: Impact of Inorganic Salts on Drug Release from Tablets Containing Itraconazole-HPMC Extrudate&quot;,&quot;type&quot;:&quot;article-journal&quot;,&quot;volume&quot;:&quot;17&quot;,&quot;container-title-short&quot;:&quot;&quot;},&quot;uris&quot;:[&quot;http://www.mendeley.com/documents/?uuid=544d561b-ad4a-441b-a71c-f0c63d0a9e8a&quot;],&quot;isTemporary&quot;:false,&quot;legacyDesktopId&quot;:&quot;544d561b-ad4a-441b-a71c-f0c63d0a9e8a&quot;}]},{&quot;citationID&quot;:&quot;MENDELEY_CITATION_aa8786d6-946d-4a04-8c5b-e92c047f1f7e&quot;,&quot;properties&quot;:{&quot;noteIndex&quot;:0},&quot;isEdited&quot;:false,&quot;manualOverride&quot;:{&quot;citeprocText&quot;:&quot;(Loftsson et al., 1999; Medarević et al., 2015; Ribeiro et al., 2003)&quot;,&quot;isManuallyOverridden&quot;:false,&quot;manualOverrideText&quot;:&quot;&quot;},&quot;citationTag&quot;:&quot;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&quot;,&quot;citationItems&quot;:[{&quot;id&quot;:&quot;9a83eb1c-dfeb-5b78-a23e-f59c58e1dee6&quot;,&quot;itemData&quot;:{&quot;ISSN&quot;:&quot;11571489&quot;,&quot;abstract&quot;:&quot;In general, the complexation efficiency of cyclodextrins is rather low, and thus relatively large amounts of cyclodextrins are needed to complex small amounts of a drug. In addition, various pharmaceutical additives decrease the efficiency even further. Meanwhile, due to toxicological considerations, formulation bulk and production cost, it is important to use as little cyclodextrin as possible in pharmaceutical preparations. Several different methods, which can be applied in order to enhance the complexation efficiency of cyclodextrins, were evaluated. A sugaring-in effect could not be observed in aqueous cyclodextrin solutions. Polymers, and other rheological agents, increase the complexation efficiency by increasing the apparent stability constant of the drug/cyclodextrin complex. Ionization of a drug molecule sometimes increases the complexation efficiency by increasing the intrinsic solubility of the drug. Finally, enhanced complexation efficacy can be obtained by forming a more water-soluble drug derivative of a water- insoluble drug (i.e. prodrug with higher intrinsic solubility than the parent drug).&quot;,&quot;author&quot;:[{&quot;dropping-particle&quot;:&quot;&quot;,&quot;family&quot;:&quot;Loftsson&quot;,&quot;given&quot;:&quot;T.&quot;,&quot;non-dropping-particle&quot;:&quot;&quot;,&quot;parse-names&quot;:false,&quot;suffix&quot;:&quot;&quot;},{&quot;dropping-particle&quot;:&quot;&quot;,&quot;family&quot;:&quot;Másson&quot;,&quot;given&quot;:&quot;M.&quot;,&quot;non-dropping-particle&quot;:&quot;&quot;,&quot;parse-names&quot;:false,&quot;suffix&quot;:&quot;&quot;},{&quot;dropping-particle&quot;:&quot;&quot;,&quot;family&quot;:&quot;Sigurjónsdóttir&quot;,&quot;given&quot;:&quot;J. F.&quot;,&quot;non-dropping-particle&quot;:&quot;&quot;,&quot;parse-names&quot;:false,&quot;suffix&quot;:&quot;&quot;}],&quot;container-title&quot;:&quot;S.T.P. Pharma Sciences&quot;,&quot;id&quot;:&quot;9a83eb1c-dfeb-5b78-a23e-f59c58e1dee6&quot;,&quot;issue&quot;:&quot;3&quot;,&quot;issued&quot;:{&quot;date-parts&quot;:[[&quot;1999&quot;]]},&quot;page&quot;:&quot;237-242&quot;,&quot;title&quot;:&quot;Methods to enhance the complexation efficiency of cyclodextrins&quot;,&quot;type&quot;:&quot;article-journal&quot;,&quot;volume&quot;:&quot;9&quot;,&quot;container-title-short&quot;:&quot;&quot;},&quot;uris&quot;:[&quot;http://www.mendeley.com/documents/?uuid=8a36db1f-9d50-4ef9-a345-9ee1861b4411&quot;],&quot;isTemporary&quot;:false,&quot;legacyDesktopId&quot;:&quot;8a36db1f-9d50-4ef9-a345-9ee1861b4411&quot;},{&quot;id&quot;:&quot;ce53ddc0-97c4-510a-b756-df58ff6d5667&quot;,&quot;itemData&quot;:{&quot;DOI&quot;:&quot;10.1016/j.ejps.2015.08.001&quot;,&quot;ISSN&quot;:&quot;18790720&quot;,&quot;PMID&quot;:&quot;26255049&quot;,&quot;abstract&quot;:&quot;In this study binary carbamazepine-hydroxypropyl-β-cyclodextrin, as well as ternary carbamazepine-hydroxypropyl-β-cyclodextrin-hydrophilic polymer systems were used to improve dissolution rate of carbamazepine. It has been shown that addition of hydrophilic polymers (Soluplus® and two types of hydroxypropyl methylcellulose-Metolose® 90SH-100 and Metolose® 65SH-1500) significantly increased solubilization capacity of hydroxypropyl-β-cyclodextrin for carbamazepine. Evaluation of carbamazepine-hydroxypropyl-β-cyclodextrin-hydrophilic polymer interactions using molecular modeling techniques showed interactions between carbamazepine, which dissociates from inclusion complexes and hydroxypropyl methylcellulose that can prevent crystallization of dissolved carbamazepine. These results can contribute to better understanding of drug-cyclodextrin-hydrophilic polymer interactions which are still not well understood. After evaluation of carbamazepine solubilization with hydroxypropyl-β-cyclodextrin and hydrophilic polymers, both binary carbamazepine-hydroxypropyl-β-cyclodextrin and ternary carbamazepine-hydroxypropyl-β-cyclodextrin-hydrophilic polymer systems were prepared by spray drying. The results of solid state characterization methods showed amorphous nature of carbamazepine in all spray dried systems, which together with the results of molecular modeling techniques indicates inclusion complex formation. Carbamazepine dissolution rate was significantly improved from spray dried formulations compared to pure drug. Binary carbamazepine-hydroxypropyl-β-cyclodextrin and ternary carbamazepine-hydroxypropyl-β-cyclodextrin-Soluplus® systems exhibited the fastest carbamazepine release, wherein the entire amount of carbamazepine was released during first 5 min.&quot;,&quot;author&quot;:[{&quot;dropping-particle&quot;:&quot;&quot;,&quot;family&quot;:&quot;Medarević&quot;,&quot;given&quot;:&quot;Djordje&quot;,&quot;non-dropping-particle&quot;:&quot;&quot;,&quot;parse-names&quot;:false,&quot;suffix&quot;:&quot;&quot;},{&quot;dropping-particle&quot;:&quot;&quot;,&quot;family&quot;:&quot;Kachrimanis&quot;,&quot;given&quot;:&quot;Kyriakos&quot;,&quot;non-dropping-particle&quot;:&quot;&quot;,&quot;parse-names&quot;:false,&quot;suffix&quot;:&quot;&quot;},{&quot;dropping-particle&quot;:&quot;&quot;,&quot;family&quot;:&quot;Djurić&quot;,&quot;given&quot;:&quot;Zorica&quot;,&quot;non-dropping-particle&quot;:&quot;&quot;,&quot;parse-names&quot;:false,&quot;suffix&quot;:&quot;&quot;},{&quot;dropping-particle&quot;:&quot;&quot;,&quot;family&quot;:&quot;Ibrić&quot;,&quot;given&quot;:&quot;Svetlana&quot;,&quot;non-dropping-particle&quot;:&quot;&quot;,&quot;parse-names&quot;:false,&quot;suffix&quot;:&quot;&quot;}],&quot;container-title&quot;:&quot;European Journal of Pharmaceutical Sciences&quot;,&quot;id&quot;:&quot;ce53ddc0-97c4-510a-b756-df58ff6d5667&quot;,&quot;issued&quot;:{&quot;date-parts&quot;:[[&quot;2015&quot;]]},&quot;page&quot;:&quot;273-285&quot;,&quot;title&quot;:&quot;Influence of hydrophilic polymers on the complexation of carbamazepine with hydroxypropyl-β-cyclodextrin&quot;,&quot;type&quot;:&quot;article-journal&quot;,&quot;volume&quot;:&quot;78&quot;,&quot;container-title-short&quot;:&quot;&quot;},&quot;uris&quot;:[&quot;http://www.mendeley.com/documents/?uuid=f0ff2fc5-8ba1-41ef-a249-6e2258b42f75&quot;],&quot;isTemporary&quot;:false,&quot;legacyDesktopId&quot;:&quot;f0ff2fc5-8ba1-41ef-a249-6e2258b42f75&quot;},{&quot;id&quot;:&quot;46fd738b-7020-5f81-ac5c-9efceaa1e4c4&quot;,&quot;itemData&quot;:{&quot;DOI&quot;:&quot;10.1016/S0928-0987(03)00199-4&quot;,&quot;ISSN&quot;:&quot;09280987&quot;,&quot;PMID&quot;:&quot;14592691&quot;,&quot;abstract&quot;:&quot;The studies reported in this work aimed to elucidate the inclusion complex formation of vinpocetine (VP), a poorly water-soluble base type drug, with β-cyclodextrin (βCD) and its sulfobutyl ether derivative (sulfobutyl ether β-cyclodextrin (SBEβCD)), with or without water-soluble polymers (PVP and HPMC), by thoroughly investigating their interactions in solution and solid state. Phase solubility studies were carried out to evaluate the solubilizing power of both cyclodextrins (CDs), in association with water-soluble polymers, towards VP and to determine the apparent stability constants (Kc) of the complexes. SBEβCD showed higher solubilizing efficacy toward VP than the parent βCD due to its greater solubility and complexing abilities, what was reflected in higher Kc values. Improvement in Kc values for ternary complexes clearly proves the benefit on the addition of water-soluble polymers to promote higher complexation efficiency. VP-CDs (1:1) binary and ternary systems were prepared by physical mixing, kneading, co-evaporation, and lyophilization methods. In the solid state, drug-carrier interactions were studied by scanning electron microscopy (SEM), differential scanning calorimetry (DSC), X-ray diffractometry (XRD) and Fourier-transform infrared spectroscopy. The results of these analysis suggested the formation of new solid phases, some of them in amorphous state, allowing to the conclusion of strong evidences of binary and ternary inclusion complex formation between VP, CD and water-soluble polymers, particularly for co-evaporated and lyophilized binary and ternary products. © 2003 Elsevier B.V. All rights reserved.&quot;,&quot;author&quot;:[{&quot;dropping-particle&quot;:&quot;&quot;,&quot;family&quot;:&quot;Ribeiro&quot;,&quot;given&quot;:&quot;Laura S.S.&quot;,&quot;non-dropping-particle&quot;:&quot;&quot;,&quot;parse-names&quot;:false,&quot;suffix&quot;:&quot;&quot;},{&quot;dropping-particle&quot;:&quot;&quot;,&quot;family&quot;:&quot;Ferreira&quot;,&quot;given&quot;:&quot;Domingos C.&quot;,&quot;non-dropping-particle&quot;:&quot;&quot;,&quot;parse-names&quot;:false,&quot;suffix&quot;:&quot;&quot;},{&quot;dropping-particle&quot;:&quot;&quot;,&quot;family&quot;:&quot;Veiga&quot;,&quot;given&quot;:&quot;Francisco J.B.&quot;,&quot;non-dropping-particle&quot;:&quot;&quot;,&quot;parse-names&quot;:false,&quot;suffix&quot;:&quot;&quot;}],&quot;container-title&quot;:&quot;European Journal of Pharmaceutical Sciences&quot;,&quot;id&quot;:&quot;46fd738b-7020-5f81-ac5c-9efceaa1e4c4&quot;,&quot;issue&quot;:&quot;3&quot;,&quot;issued&quot;:{&quot;date-parts&quot;:[[&quot;2003&quot;]]},&quot;page&quot;:&quot;253-266&quot;,&quot;title&quot;:&quot;Physicochemical investigation of the effects of water-soluble polymers on vinpocetine complexation with β-cyclodextrin and its sulfobutyl ether derivative in solution and solid state&quot;,&quot;type&quot;:&quot;article-journal&quot;,&quot;volume&quot;:&quot;20&quot;,&quot;container-title-short&quot;:&quot;&quot;},&quot;uris&quot;:[&quot;http://www.mendeley.com/documents/?uuid=ad26d4be-7dfb-4313-8194-874c94972cf8&quot;],&quot;isTemporary&quot;:false,&quot;legacyDesktopId&quot;:&quot;ad26d4be-7dfb-4313-8194-874c94972cf8&quot;}]},{&quot;citationID&quot;:&quot;MENDELEY_CITATION_c0d0de00-ad01-471f-8d2c-100922e1d7bf&quot;,&quot;properties&quot;:{&quot;noteIndex&quot;:0},&quot;isEdited&quot;:false,&quot;manualOverride&quot;:{&quot;citeprocText&quot;:&quot;(Medarević et al., 2015)&quot;,&quot;isManuallyOverridden&quot;:false,&quot;manualOverrideText&quot;:&quot;&quot;},&quot;citationTag&quot;:&quot;MENDELEY_CITATION_v3_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&quot;,&quot;citationItems&quot;:[{&quot;id&quot;:&quot;ce53ddc0-97c4-510a-b756-df58ff6d5667&quot;,&quot;itemData&quot;:{&quot;DOI&quot;:&quot;10.1016/j.ejps.2015.08.001&quot;,&quot;ISSN&quot;:&quot;18790720&quot;,&quot;PMID&quot;:&quot;26255049&quot;,&quot;abstract&quot;:&quot;In this study binary carbamazepine-hydroxypropyl-β-cyclodextrin, as well as ternary carbamazepine-hydroxypropyl-β-cyclodextrin-hydrophilic polymer systems were used to improve dissolution rate of carbamazepine. It has been shown that addition of hydrophilic polymers (Soluplus® and two types of hydroxypropyl methylcellulose-Metolose® 90SH-100 and Metolose® 65SH-1500) significantly increased solubilization capacity of hydroxypropyl-β-cyclodextrin for carbamazepine. Evaluation of carbamazepine-hydroxypropyl-β-cyclodextrin-hydrophilic polymer interactions using molecular modeling techniques showed interactions between carbamazepine, which dissociates from inclusion complexes and hydroxypropyl methylcellulose that can prevent crystallization of dissolved carbamazepine. These results can contribute to better understanding of drug-cyclodextrin-hydrophilic polymer interactions which are still not well understood. After evaluation of carbamazepine solubilization with hydroxypropyl-β-cyclodextrin and hydrophilic polymers, both binary carbamazepine-hydroxypropyl-β-cyclodextrin and ternary carbamazepine-hydroxypropyl-β-cyclodextrin-hydrophilic polymer systems were prepared by spray drying. The results of solid state characterization methods showed amorphous nature of carbamazepine in all spray dried systems, which together with the results of molecular modeling techniques indicates inclusion complex formation. Carbamazepine dissolution rate was significantly improved from spray dried formulations compared to pure drug. Binary carbamazepine-hydroxypropyl-β-cyclodextrin and ternary carbamazepine-hydroxypropyl-β-cyclodextrin-Soluplus® systems exhibited the fastest carbamazepine release, wherein the entire amount of carbamazepine was released during first 5 min.&quot;,&quot;author&quot;:[{&quot;dropping-particle&quot;:&quot;&quot;,&quot;family&quot;:&quot;Medarević&quot;,&quot;given&quot;:&quot;Djordje&quot;,&quot;non-dropping-particle&quot;:&quot;&quot;,&quot;parse-names&quot;:false,&quot;suffix&quot;:&quot;&quot;},{&quot;dropping-particle&quot;:&quot;&quot;,&quot;family&quot;:&quot;Kachrimanis&quot;,&quot;given&quot;:&quot;Kyriakos&quot;,&quot;non-dropping-particle&quot;:&quot;&quot;,&quot;parse-names&quot;:false,&quot;suffix&quot;:&quot;&quot;},{&quot;dropping-particle&quot;:&quot;&quot;,&quot;family&quot;:&quot;Djurić&quot;,&quot;given&quot;:&quot;Zorica&quot;,&quot;non-dropping-particle&quot;:&quot;&quot;,&quot;parse-names&quot;:false,&quot;suffix&quot;:&quot;&quot;},{&quot;dropping-particle&quot;:&quot;&quot;,&quot;family&quot;:&quot;Ibrić&quot;,&quot;given&quot;:&quot;Svetlana&quot;,&quot;non-dropping-particle&quot;:&quot;&quot;,&quot;parse-names&quot;:false,&quot;suffix&quot;:&quot;&quot;}],&quot;container-title&quot;:&quot;European Journal of Pharmaceutical Sciences&quot;,&quot;id&quot;:&quot;ce53ddc0-97c4-510a-b756-df58ff6d5667&quot;,&quot;issued&quot;:{&quot;date-parts&quot;:[[&quot;2015&quot;]]},&quot;page&quot;:&quot;273-285&quot;,&quot;title&quot;:&quot;Influence of hydrophilic polymers on the complexation of carbamazepine with hydroxypropyl-β-cyclodextrin&quot;,&quot;type&quot;:&quot;article-journal&quot;,&quot;volume&quot;:&quot;78&quot;,&quot;container-title-short&quot;:&quot;&quot;},&quot;uris&quot;:[&quot;http://www.mendeley.com/documents/?uuid=f0ff2fc5-8ba1-41ef-a249-6e2258b42f75&quot;],&quot;isTemporary&quot;:false,&quot;legacyDesktopId&quot;:&quot;f0ff2fc5-8ba1-41ef-a249-6e2258b42f75&quot;}]},{&quot;citationID&quot;:&quot;MENDELEY_CITATION_196dcede-8c1e-47d3-813e-06ede061ef4c&quot;,&quot;properties&quot;:{&quot;noteIndex&quot;:0},&quot;isEdited&quot;:false,&quot;manualOverride&quot;:{&quot;citeprocText&quot;:&quot;(Aiassa et al., 2021)&quot;,&quot;isManuallyOverridden&quot;:false,&quot;manualOverrideText&quot;:&quot;&quot;},&quot;citationTag&quot;:&quot;MENDELEY_CITATION_v3_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&quot;,&quot;citationItems&quot;:[{&quot;id&quot;:&quot;88649bf5-4e71-5556-b4d7-aa136f9bbde7&quot;,&quot;itemData&quot;:{&quot;DOI&quot;:&quot;10.3390/pharmaceutics13071099&quot;,&quot;ISSN&quot;:&quot;19994923&quot;,&quot;abstract&quot;:&quot;Cyclodextrins (CDs) are naturally available water-soluble cyclic oligosaccharides widely used as carriers in the pharmaceutical industry for their ability to modulate several properties of drugs through the formation of drug–CD complexes. The addition of an auxiliary substance when forming multicomponent complexes is an adequate strategy to enhance complexation efficiency and to facilitate the therapeutic applicability of different drugs. This review discusses multicomponent complexation using amino acids; organic acids and bases; and water-soluble polymers as auxiliary excipients. Special attention is given to improved properties by including information on the solubility, dissolution, permeation, stability and bioavailability of several relevant drugs. In addition, the use of multicomponent CD complexes to enhance therapeutic drug effects is summarized.&quot;,&quot;author&quot;:[{&quot;dropping-particle&quot;:&quot;&quot;,&quot;family&quot;:&quot;Aiassa&quot;,&quot;given&quot;:&quot;Virginia&quot;,&quot;non-dropping-particle&quot;:&quot;&quot;,&quot;parse-names&quot;:false,&quot;suffix&quot;:&quot;&quot;},{&quot;dropping-particle&quot;:&quot;&quot;,&quot;family&quot;:&quot;Garnero&quot;,&quot;given&quot;:&quot;Claudia&quot;,&quot;non-dropping-particle&quot;:&quot;&quot;,&quot;parse-names&quot;:false,&quot;suffix&quot;:&quot;&quot;},{&quot;dropping-particle&quot;:&quot;&quot;,&quot;family&quot;:&quot;Longhi&quot;,&quot;given&quot;:&quot;Marcela R.&quot;,&quot;non-dropping-particle&quot;:&quot;&quot;,&quot;parse-names&quot;:false,&quot;suffix&quot;:&quot;&quot;},{&quot;dropping-particle&quot;:&quot;&quot;,&quot;family&quot;:&quot;Zoppi&quot;,&quot;given&quot;:&quot;Ariana&quot;,&quot;non-dropping-particle&quot;:&quot;&quot;,&quot;parse-names&quot;:false,&quot;suffix&quot;:&quot;&quot;}],&quot;container-title&quot;:&quot;Pharmaceutics&quot;,&quot;id&quot;:&quot;88649bf5-4e71-5556-b4d7-aa136f9bbde7&quot;,&quot;issue&quot;:&quot;7&quot;,&quot;issued&quot;:{&quot;date-parts&quot;:[[&quot;2021&quot;]]},&quot;title&quot;:&quot;Cyclodextrin multicomponent complexes: Pharmaceutical applications&quot;,&quot;type&quot;:&quot;article-journal&quot;,&quot;volume&quot;:&quot;13&quot;,&quot;container-title-short&quot;:&quot;Pharmaceutics&quot;},&quot;uris&quot;:[&quot;http://www.mendeley.com/documents/?uuid=fdd6fe97-9649-424a-b63b-63f390b19b1c&quot;],&quot;isTemporary&quot;:false,&quot;legacyDesktopId&quot;:&quot;fdd6fe97-9649-424a-b63b-63f390b19b1c&quot;}]},{&quot;citationID&quot;:&quot;MENDELEY_CITATION_3503e136-0a1f-4100-9771-98ed4d2e6211&quot;,&quot;properties&quot;:{&quot;noteIndex&quot;:0},&quot;isEdited&quot;:false,&quot;manualOverride&quot;:{&quot;citeprocText&quot;:&quot;(Londhe et al., 2020; Rakkaew et al., 2018)&quot;,&quot;isManuallyOverridden&quot;:false,&quot;manualOverrideText&quot;:&quot;&quot;},&quot;citationTag&quot;:&quot;MENDELEY_CITATION_v3_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&quot;,&quot;citationItems&quot;:[{&quot;id&quot;:&quot;bccb2f8c-b2e7-56dd-95fe-ba24a714a840&quot;,&quot;itemData&quot;:{&quot;DOI&quot;:&quot;10.1016/j.molstruc.2020.128615&quot;,&quot;ISSN&quot;:&quot;00222860&quot;,&quot;abstract&quot;:&quot;The antipsychotic drug Iloperidone (ILO) suffers from drawbacks of low solubility and poor bioavailability. In order to overcome such problems, we proposed to prepare binary and ternary complexes using kneading method and further compared for their ability to improve the solubility of ILO. Based on preliminary studies and phase solubility diagram, 1:1 ratio of drug and Hydroxypropyl β-cyclodextrin (HPβCD) was selected. Tartaric acid (TA) and Kolliphor P-188 (KP) were selected as auxiliary agents (AAs) for ternary systems. Significant improvements in the stability constant and complexation efficiency were seen in the phase solubility studies for TA in comparison to KP. Complexation was studied using PXRD, DSC, FT-IR and NMR. Apparent changes in the crystallinity of ILO were observed from PXRD and DSC studies, suggesting formation of complexes. The interactions in the inclusion complexes were confirmed by FT-IR and 1HNMR. Saturation solubility and in vitro dissolution studies showed increase in the drug solubility and release from the complexes compared to the pure drug alone. These studies suggest some interaction between AAs, ILO and HPβCD in ternary complexes. Thus, the present study led to the conclusion that AAs positively enhance solubility of the drug ILO and consequently may improve bioavailability.&quot;,&quot;author&quot;:[{&quot;dropping-particle&quot;:&quot;&quot;,&quot;family&quot;:&quot;Londhe&quot;,&quot;given&quot;:&quot;Vaishali Y.&quot;,&quot;non-dropping-particle&quot;:&quot;&quot;,&quot;parse-names&quot;:false,&quot;suffix&quot;:&quot;&quot;},{&quot;dropping-particle&quot;:&quot;&quot;,&quot;family&quot;:&quot;Pawar&quot;,&quot;given&quot;:&quot;Akshayya&quot;,&quot;non-dropping-particle&quot;:&quot;&quot;,&quot;parse-names&quot;:false,&quot;suffix&quot;:&quot;&quot;},{&quot;dropping-particle&quot;:&quot;&quot;,&quot;family&quot;:&quot;Kundaikar&quot;,&quot;given&quot;:&quot;Harish&quot;,&quot;non-dropping-particle&quot;:&quot;&quot;,&quot;parse-names&quot;:false,&quot;suffix&quot;:&quot;&quot;}],&quot;container-title&quot;:&quot;Journal of Molecular Structure&quot;,&quot;id&quot;:&quot;bccb2f8c-b2e7-56dd-95fe-ba24a714a840&quot;,&quot;issued&quot;:{&quot;date-parts&quot;:[[&quot;2020&quot;]]},&quot;title&quot;:&quot;Studies on spectral characterization and solubility of hydroxypropyl β-cyclodextrin/iloperidone binary and ternary complexes using different auxiliary agents&quot;,&quot;type&quot;:&quot;article-journal&quot;,&quot;volume&quot;:&quot;1220&quot;,&quot;container-title-short&quot;:&quot;&quot;},&quot;uris&quot;:[&quot;http://www.mendeley.com/documents/?uuid=25d0a3ca-394b-4d0b-8925-3897f2713ed7&quot;],&quot;isTemporary&quot;:false,&quot;legacyDesktopId&quot;:&quot;25d0a3ca-394b-4d0b-8925-3897f2713ed7&quot;},{&quot;id&quot;:&quot;68d3be8e-a976-5146-9f4f-ba7528304e88&quot;,&quot;itemData&quot;:{&quot;DOI&quot;:&quot;10.1080/10837450.2017.1344993&quot;,&quot;ISSN&quot;:&quot;10979867&quot;,&quot;PMID&quot;:&quot;28627267&quot;,&quot;abstract&quot;:&quot;Haloperidol (HALO) is a weak base with very low aqueous solubility that is used as an antipsychotic drug. This study aimed to improve its solubility by forming HALO/β-cyclodextrin (β-CD)-based ternary complexes with organic acids. The solubility of HALO/β-CD binary and HALO/β-CD/organic acid ternary complexes in different media (i.e. citrate buffer pH 3 and 6) was explored. The stoichiometric ratio between the drug and β-CD was 1:1 in all complexes formed. The solubility of HALO/β-CD binary complexes significantly increased in citrate buffer pH 3 compared with citrate buffer pH 6. For the ternary complexes, HALO/β-CD/tartaric acid and HALO/β-CD/lactic acid in citrate buffer pH 3 increased HALO solubility compared with HALO/β-CD/succinic acid due to their higher unionized species. The highest stability constant and complexation efficiency values in citrate buffer pH 3 were shown by the ternary complexes with lactic acid followed by tartaric acid and succinic acid, respectively. Results indicated that lactic acid provided the greatest binding strength and solubilization efficiency for the complex.&quot;,&quot;author&quot;:[{&quot;dropping-particle&quot;:&quot;&quot;,&quot;family&quot;:&quot;Rakkaew&quot;,&quot;given&quot;:&quot;Prisada&quot;,&quot;non-dropping-particle&quot;:&quot;&quot;,&quot;parse-names&quot;:false,&quot;suffix&quot;:&quot;&quot;},{&quot;dropping-particle&quot;:&quot;&quot;,&quot;family&quot;:&quot;Suksiriworapong&quot;,&quot;given&quot;:&quot;Jiraphong&quot;,&quot;non-dropping-particle&quot;:&quot;&quot;,&quot;parse-names&quot;:false,&quot;suffix&quot;:&quot;&quot;},{&quot;dropping-particle&quot;:&quot;&quot;,&quot;family&quot;:&quot;Chantasart&quot;,&quot;given&quot;:&quot;Doungdaw&quot;,&quot;non-dropping-particle&quot;:&quot;&quot;,&quot;parse-names&quot;:false,&quot;suffix&quot;:&quot;&quot;}],&quot;container-title&quot;:&quot;Pharmaceutical Development and Technology&quot;,&quot;id&quot;:&quot;68d3be8e-a976-5146-9f4f-ba7528304e88&quot;,&quot;issue&quot;:&quot;7&quot;,&quot;issued&quot;:{&quot;date-parts&quot;:[[&quot;2018&quot;]]},&quot;page&quot;:&quot;715-722&quot;,&quot;title&quot;:&quot;β-Cyclodextrin-based ternary complexes of haloperidol and organic acids: the effect of organic acids on the drug solubility enhancement&quot;,&quot;type&quot;:&quot;article-journal&quot;,&quot;volume&quot;:&quot;23&quot;,&quot;container-title-short&quot;:&quot;&quot;},&quot;uris&quot;:[&quot;http://www.mendeley.com/documents/?uuid=018fbaf8-6f22-4761-bd16-b7fb5907bb61&quot;],&quot;isTemporary&quot;:false,&quot;legacyDesktopId&quot;:&quot;018fbaf8-6f22-4761-bd16-b7fb5907bb61&quot;}]},{&quot;citationID&quot;:&quot;MENDELEY_CITATION_42f8cb73-045a-410d-936f-638f765394f7&quot;,&quot;properties&quot;:{&quot;noteIndex&quot;:0},&quot;isEdited&quot;:false,&quot;manualOverride&quot;:{&quot;citeprocText&quot;:&quot;(Redenti et al., 2000)&quot;,&quot;isManuallyOverridden&quot;:false,&quot;manualOverrideText&quot;:&quot;&quot;},&quot;citationTag&quot;:&quot;MENDELEY_CITATION_v3_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&quot;,&quot;citationItems&quot;:[{&quot;id&quot;:&quot;0f73fb72-107c-51f5-a0cf-5b22025b05eb&quot;,&quot;itemData&quot;:{&quot;DOI&quot;:&quot;10.1002/(SICI)1520-6017(200001)89:1&lt;1::AID-JPS1&gt;3.0.CO;2-W&quot;,&quot;ISSN&quot;:&quot;00223549&quot;,&quot;PMID&quot;:&quot;10664533&quot;,&quot;abstract&quot;:&quot;The objective of this mini-review is to summarize the findings concerning the properties and the pharmaceutical applications of multicomponent complexes made of a sparingly water-soluble amino-type drug, a cyclodextrin, and a hydroxy carboxylic acid. Simultaneous complexation and salt formation with these acids significantly increase the solubilizing power, allowing us to reduce the amount of cyclodextrin necessary for making the targeted formulation. In many cases, the aqueous solubility of the hydrophobic drug can be enhanced by several orders of magnitude, while that of CD can be enhanced more than 10-fold. The mechanism through which these complexes elicit their synergetic effects on the drug solubility is also discussed. Finally, some general observations are made concerning the structural requirements of the drug necessary for exploiting the aforementioned effect. (C) 2000 Wiley-Liss, Inc.&quot;,&quot;author&quot;:[{&quot;dropping-particle&quot;:&quot;&quot;,&quot;family&quot;:&quot;Redenti&quot;,&quot;given&quot;:&quot;Enrico&quot;,&quot;non-dropping-particle&quot;:&quot;&quot;,&quot;parse-names&quot;:false,&quot;suffix&quot;:&quot;&quot;},{&quot;dropping-particle&quot;:&quot;&quot;,&quot;family&quot;:&quot;Szente&quot;,&quot;given&quot;:&quot;Lajos&quot;,&quot;non-dropping-particle&quot;:&quot;&quot;,&quot;parse-names&quot;:false,&quot;suffix&quot;:&quot;&quot;},{&quot;dropping-particle&quot;:&quot;&quot;,&quot;family&quot;:&quot;Szejtli&quot;,&quot;given&quot;:&quot;József&quot;,&quot;non-dropping-particle&quot;:&quot;&quot;,&quot;parse-names&quot;:false,&quot;suffix&quot;:&quot;&quot;}],&quot;container-title&quot;:&quot;Journal of Pharmaceutical Sciences&quot;,&quot;id&quot;:&quot;0f73fb72-107c-51f5-a0cf-5b22025b05eb&quot;,&quot;issue&quot;:&quot;1&quot;,&quot;issued&quot;:{&quot;date-parts&quot;:[[&quot;2000&quot;]]},&quot;page&quot;:&quot;1-8&quot;,&quot;title&quot;:&quot;Drug/cyclodextrin/hydroxy acid multicomponent systems. Properties and pharmaceutical applications&quot;,&quot;type&quot;:&quot;article-journal&quot;,&quot;volume&quot;:&quot;89&quot;,&quot;container-title-short&quot;:&quot;&quot;},&quot;uris&quot;:[&quot;http://www.mendeley.com/documents/?uuid=70a726fd-2523-4d21-9fdb-4b6934fac9e8&quot;],&quot;isTemporary&quot;:false,&quot;legacyDesktopId&quot;:&quot;70a726fd-2523-4d21-9fdb-4b6934fac9e8&quot;}]},{&quot;citationID&quot;:&quot;MENDELEY_CITATION_b4b6a655-1621-4d88-a20c-d49653580adc&quot;,&quot;properties&quot;:{&quot;noteIndex&quot;:0},&quot;isEdited&quot;:false,&quot;manualOverride&quot;:{&quot;citeprocText&quot;:&quot;(Barillaro et al., 2005; Jug et al., 2014)&quot;,&quot;isManuallyOverridden&quot;:false,&quot;manualOverrideText&quot;:&quot;&quot;},&quot;citationTag&quot;:&quot;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&quot;,&quot;citationItems&quot;:[{&quot;id&quot;:&quot;c74232ee-c020-5531-ae9d-708bc57d7093&quot;,&quot;itemData&quot;:{&quot;DOI&quot;:&quot;10.1016/j.jpba.2013.12.029&quot;,&quot;ISSN&quot;:&quot;1873264X&quot;,&quot;PMID&quot;:&quot;24444785&quot;,&quot;abstract&quot;:&quot;The aim of this work was to investigate in-depth interactions of econazole nitrate (ECN), a very poorly water-soluble antifungal agent, with different β-cyclodextrin (βCD) derivatives, and to evaluate the potential synergistic effect of suitable third compounds (l-amino acids, citric acid, hydrophilic polymers). Phase-solubility studies showed the formation of equimolar complexes with all tested CDs, and indicated sulfobutyl-βCD (SBEβCD) as the best complexing and solubilizing agent for ECN, followed by hydroxypropyl-βCD (HPβCD). 1D and 2D 1H NMR studies demonstrated the actual formation of inclusion complexes of 1:1mol:mol stoichiometry, and gave insight about different inclusion modes of ECN molecule into the CD cavity, simultaneously existing in solution. Among the different tested ternary systems, only those with citric acid (CA) enabled a significant increase in complexing and solubilizing ability towards the drug with respect to the binary ones, indicating a synergistic effect between SBEβCD and CA and the formation of highly soluble ternary complexes, which was further supported by NMR studies. Solid equimolar binary and ternary systems of ECN, CDs and CA were prepared by co-grinding in high energy vibrational micro-mills and characterized by differential scanning calorimetry, X-ray powder diffractometry and in vitro dissolution studies. In the case of binary systems, total sample amorphization, indicative of strong solid state interactions and possible inclusion complex formation, was obtained only for co-ground products with HPβCD and SBEβCD, but they both presented a dissolution profile typical of a supersaturated system, with a limited improvement of drug dissolution efficiency (8.3 and 22.13 times, respectively). On the contrary, the ternary ECN/SBEβCD/CA co-ground product presented superior dissolution properties, increasing the ECN dissolution efficiency of 66.62 times, clearly having the best potential for further development of a novel ECN delivery system for efficient delivery of the drug to the oral cavity, thus improving the therapy of oral candidosis. © 2014.&quot;,&quot;author&quot;:[{&quot;dropping-particle&quot;:&quot;&quot;,&quot;family&quot;:&quot;Jug&quot;,&quot;given&quot;:&quot;Mario&quot;,&quot;non-dropping-particle&quot;:&quot;&quot;,&quot;parse-names&quot;:false,&quot;suffix&quot;:&quot;&quot;},{&quot;dropping-particle&quot;:&quot;&quot;,&quot;family&quot;:&quot;Mennini&quot;,&quot;given&quot;:&quot;Natascia&quot;,&quot;non-dropping-particle&quot;:&quot;&quot;,&quot;parse-names&quot;:false,&quot;suffix&quot;:&quot;&quot;},{&quot;dropping-particle&quot;:&quot;&quot;,&quot;family&quot;:&quot;Kövér&quot;,&quot;given&quot;:&quot;Katalin E.&quot;,&quot;non-dropping-particle&quot;:&quot;&quot;,&quot;parse-names&quot;:false,&quot;suffix&quot;:&quot;&quot;},{&quot;dropping-particle&quot;:&quot;&quot;,&quot;family&quot;:&quot;Mura&quot;,&quot;given&quot;:&quot;Paola&quot;,&quot;non-dropping-particle&quot;:&quot;&quot;,&quot;parse-names&quot;:false,&quot;suffix&quot;:&quot;&quot;}],&quot;container-title&quot;:&quot;Journal of Pharmaceutical and Biomedical Analysis&quot;,&quot;id&quot;:&quot;c74232ee-c020-5531-ae9d-708bc57d7093&quot;,&quot;issued&quot;:{&quot;date-parts&quot;:[[&quot;2014&quot;]]},&quot;page&quot;:&quot;81-91&quot;,&quot;title&quot;:&quot;Comparative analysis of binary and ternary cyclodextrin complexes with econazole nitrate in solution and in solid state&quot;,&quot;type&quot;:&quot;article-journal&quot;,&quot;volume&quot;:&quot;91&quot;,&quot;container-title-short&quot;:&quot;&quot;},&quot;uris&quot;:[&quot;http://www.mendeley.com/documents/?uuid=45d93cee-b911-4a6e-b1ff-14cc06ceffa4&quot;],&quot;isTemporary&quot;:false,&quot;legacyDesktopId&quot;:&quot;45d93cee-b911-4a6e-b1ff-14cc06ceffa4&quot;},{&quot;id&quot;:&quot;fb4ac554-343e-5c76-871b-40ad992dcdc4&quot;,&quot;itemData&quot;:{&quot;DOI&quot;:&quot;10.1208/aapsj070116&quot;,&quot;ISSN&quot;:&quot;15221059&quot;,&quot;PMID&quot;:&quot;16146337&quot;,&quot;abstract&quot;:&quot;The objective of this study was to determine the pharmacokinetic parameters of miconazole after oral administration of a miconazole/hydroxypropyl-γ-cyclodextrin(HPγCD)/L-tartaric acid inclusion complex produced by supercritical carbon dioxide processing. The pharmacokinetics of the miconazole ternary complex (CPLX), of the corresponding physical mixture (PHYS), and of miconazole alone (MICO) were compared after oral administration. Six mixed-breed pigs received each formulation as a single dose (10 mg miconazole/kg) in a crossover design. Miconazole plasma concentrations were determined by a high-performance liquid chromatography method. Preliminary in vitro dissolution data showed that CPLX exhibits a faster and higher dissolution rate than either PHYS or MICO. Following CPLX oral administration, mean area under the plasma concentration curve (AUCO0-∞) for miconazole was 95.0 ± 55.8 μg /min/mL, with the peak plasma concentration (Cmax 0.59 ± 0.39 μg/mL) at 19.30 minutes. The AUC0-∞ and Cmax values were significantly higher than those after oral administration of PHYS (AUC0-∞ 38.5 ± 12.7 μg/min/mL and Cmax 0.24 ± 0.08 μg/mL; P &lt; .1) and of MICO (AUC0-∞ 24.1 ± 14.0 μg/min/mL and Cmax 0.1 ± 0.05 μg/mL; P &lt; .1). There were also significant differences between PHYS and MICO (P &lt; .1). The results of the study indicate that CPLX shows improved dissolution properties and a higher relative oral bioavailability compared with PHYS and MICO. Copyright ©2003. All Rights Reserved.&quot;,&quot;author&quot;:[{&quot;dropping-particle&quot;:&quot;&quot;,&quot;family&quot;:&quot;Barillaro&quot;,&quot;given&quot;:&quot;Valéry&quot;,&quot;non-dropping-particle&quot;:&quot;&quot;,&quot;parse-names&quot;:false,&quot;suffix&quot;:&quot;&quot;},{&quot;dropping-particle&quot;:&quot;&quot;,&quot;family&quot;:&quot;Evrard&quot;,&quot;given&quot;:&quot;Brigitte&quot;,&quot;non-dropping-particle&quot;:&quot;&quot;,&quot;parse-names&quot;:false,&quot;suffix&quot;:&quot;&quot;},{&quot;dropping-particle&quot;:&quot;&quot;,&quot;family&quot;:&quot;Delattre&quot;,&quot;given&quot;:&quot;Luc&quot;,&quot;non-dropping-particle&quot;:&quot;&quot;,&quot;parse-names&quot;:false,&quot;suffix&quot;:&quot;&quot;},{&quot;dropping-particle&quot;:&quot;&quot;,&quot;family&quot;:&quot;Piel&quot;,&quot;given&quot;:&quot;Géraldine&quot;,&quot;non-dropping-particle&quot;:&quot;&quot;,&quot;parse-names&quot;:false,&quot;suffix&quot;:&quot;&quot;}],&quot;container-title&quot;:&quot;AAPS Journal&quot;,&quot;id&quot;:&quot;fb4ac554-343e-5c76-871b-40ad992dcdc4&quot;,&quot;issue&quot;:&quot;1&quot;,&quot;issued&quot;:{&quot;date-parts&quot;:[[&quot;2005&quot;]]},&quot;title&quot;:&quot;Oral bioavailability in pigs of a miconazoleγ/hydroxypropyl-γ-cyclodextrin/L-tartaric acid inclusion complex produced by supercritical carbon dioxide processing&quot;,&quot;type&quot;:&quot;article-journal&quot;,&quot;volume&quot;:&quot;7&quot;,&quot;container-title-short&quot;:&quot;&quot;},&quot;uris&quot;:[&quot;http://www.mendeley.com/documents/?uuid=fd4632fb-57bb-4e16-b4e1-41b850cbe494&quot;],&quot;isTemporary&quot;:false,&quot;legacyDesktopId&quot;:&quot;fd4632fb-57bb-4e16-b4e1-41b850cbe494&quot;}]},{&quot;citationID&quot;:&quot;MENDELEY_CITATION_cdacb98a-1493-4cf3-bd78-806764351766&quot;,&quot;properties&quot;:{&quot;noteIndex&quot;:0},&quot;isEdited&quot;:false,&quot;manualOverride&quot;:{&quot;citeprocText&quot;:&quot;(Huyghebaert et al., 2004)&quot;,&quot;isManuallyOverridden&quot;:false,&quot;manualOverrideText&quot;:&quot;&quot;},&quot;citationTag&quot;:&quot;MENDELEY_CITATION_v3_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&quot;,&quot;citationItems&quot;:[{&quot;id&quot;:&quot;d6cfadf4-76b2-511f-a0cc-0f09c81c645a&quot;,&quot;itemData&quot;:{&quot;DOI&quot;:&quot;10.1016/j.ejps.2004.01.002&quot;,&quot;ISSN&quot;:&quot;09280987&quot;,&quot;PMID&quot;:&quot;15066662&quot;,&quot;abstract&quot;:&quot;The aim of this study was to develop an alternative method for enteric coating of HPMC capsules that avoids the sealing step before coating, resulting in ready-to-use enteric-coated capsules for the use in retail or hospital pharmacy or R&amp;D sections of pharmaceutical industry and for the production of enteric-coated heat and moisture sensitive biomaterials. HPMC caps and bodies 00 (Vcaps, Capsugel) were coated separately in a fluid bed apparatus prior to filling (GPCG-1, Glatt) with Eudragit® L30D-55 or Eudragit® FS 30 D (Röhm), Aqoat® AS-HF (Shin-Etsu) and Sureteric® (Colorcon), using an optimised coating process. The coated bodies were filled and closed with the coated caps without encountering problems of coating damage. The release in 0.1N HCl after 2h from capsules coated with Eudragit® L30D-55, Eudragit ® FS 30 D, Aqoat® AS-HF and Sureteric ® was 0.6±0.3, 0.6±0.3, 1.2±0.2 and 7.3±1.9%, respectively. The alternative method was reproducible and offered a way to overcome the time-consuming and expensive sealing step required using the conventional coating procedure. The obtained enteric-coated HPMC capsules can be stored (un)-filled for at least 6 months without loosing enteric properties. © 2004 Elsevier B.V. All rights reserved.&quot;,&quot;author&quot;:[{&quot;dropping-particle&quot;:&quot;&quot;,&quot;family&quot;:&quot;Huyghebaert&quot;,&quot;given&quot;:&quot;Nathalie&quot;,&quot;non-dropping-particle&quot;:&quot;&quot;,&quot;parse-names&quot;:false,&quot;suffix&quot;:&quot;&quot;},{&quot;dropping-particle&quot;:&quot;&quot;,&quot;family&quot;:&quot;Vermeire&quot;,&quot;given&quot;:&quot;An&quot;,&quot;non-dropping-particle&quot;:&quot;&quot;,&quot;parse-names&quot;:false,&quot;suffix&quot;:&quot;&quot;},{&quot;dropping-particle&quot;:&quot;&quot;,&quot;family&quot;:&quot;Remon&quot;,&quot;given&quot;:&quot;Jean Paul&quot;,&quot;non-dropping-particle&quot;:&quot;&quot;,&quot;parse-names&quot;:false,&quot;suffix&quot;:&quot;&quot;}],&quot;container-title&quot;:&quot;European Journal of Pharmaceutical Sciences&quot;,&quot;id&quot;:&quot;d6cfadf4-76b2-511f-a0cc-0f09c81c645a&quot;,&quot;issue&quot;:&quot;5&quot;,&quot;issued&quot;:{&quot;date-parts&quot;:[[&quot;2004&quot;]]},&quot;page&quot;:&quot;617-623&quot;,&quot;title&quot;:&quot;Alternative method for enteric coating of HPMC capsules resulting in ready-to-use enteric-coated capsules&quot;,&quot;type&quot;:&quot;article-journal&quot;,&quot;volume&quot;:&quot;21&quot;,&quot;container-title-short&quot;:&quot;&quot;},&quot;uris&quot;:[&quot;http://www.mendeley.com/documents/?uuid=5127f4fa-6200-4330-afc0-6f314702ef22&quot;],&quot;isTemporary&quot;:false,&quot;legacyDesktopId&quot;:&quot;5127f4fa-6200-4330-afc0-6f314702ef22&quot;}]},{&quot;citationID&quot;:&quot;MENDELEY_CITATION_2a51f7bb-93da-478c-a271-afe41d93a1c7&quot;,&quot;properties&quot;:{&quot;noteIndex&quot;:0},&quot;isEdited&quot;:false,&quot;manualOverride&quot;:{&quot;citeprocText&quot;:&quot;(Letmanski et al., 2015; Moghimipour et al., 2018; Rabito et al., 2012)&quot;,&quot;isManuallyOverridden&quot;:false,&quot;manualOverrideText&quot;:&quot;&quot;},&quot;citationTag&quot;:&quot;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&quot;,&quot;citationItems&quot;:[{&quot;id&quot;:&quot;928692c5-f894-5953-82eb-c63c106d17ff&quot;,&quot;itemData&quot;:{&quot;DOI&quot;:&quot;10.1080/03639045.2017.1415927&quot;,&quot;ISSN&quot;:&quot;15205762&quot;,&quot;PMID&quot;:&quot;29235889&quot;,&quot;abstract&quot;:&quot;The aim of the present research was to evaluate the impact of coating layers on release profile from enteric coated dosage forms. Capsules were coated with Eudragit FS 30D using dipping method. The drug profile was evaluated in both phosphate buffer and Hank’s solutions. Utilization X-ray imaging, gastrointestinal transmission of enteric coated capsules was traced in rats. According to the results, no release of the drug was found at pH 1.2, and the extent of release drug in pH 6.8 medium was decreased by adding the coating layers. The results indicated single-layer coated capsules in phosphate buffer were significantly higher than that in Hank’s solution. However, no significant difference was observed from capsules with three coating layers in two different dissolution media. X-ray imaging showed that enteric coated capsules were intact in the stomach and in the small intestine, while disintegrated in the colon.&quot;,&quot;author&quot;:[{&quot;dropping-particle&quot;:&quot;&quot;,&quot;family&quot;:&quot;Moghimipour&quot;,&quot;given&quot;:&quot;Eskandar&quot;,&quot;non-dropping-particle&quot;:&quot;&quot;,&quot;parse-names&quot;:false,&quot;suffix&quot;:&quot;&quot;},{&quot;dropping-particle&quot;:&quot;&quot;,&quot;family&quot;:&quot;Rezaei&quot;,&quot;given&quot;:&quot;Mohsen&quot;,&quot;non-dropping-particle&quot;:&quot;&quot;,&quot;parse-names&quot;:false,&quot;suffix&quot;:&quot;&quot;},{&quot;dropping-particle&quot;:&quot;&quot;,&quot;family&quot;:&quot;Kouchak&quot;,&quot;given&quot;:&quot;Maryam&quot;,&quot;non-dropping-particle&quot;:&quot;&quot;,&quot;parse-names&quot;:false,&quot;suffix&quot;:&quot;&quot;},{&quot;dropping-particle&quot;:&quot;&quot;,&quot;family&quot;:&quot;Fatahiasl&quot;,&quot;given&quot;:&quot;Jafar&quot;,&quot;non-dropping-particle&quot;:&quot;&quot;,&quot;parse-names&quot;:false,&quot;suffix&quot;:&quot;&quot;},{&quot;dropping-particle&quot;:&quot;&quot;,&quot;family&quot;:&quot;Angali&quot;,&quot;given&quot;:&quot;Kambiz Ahmadi&quot;,&quot;non-dropping-particle&quot;:&quot;&quot;,&quot;parse-names&quot;:false,&quot;suffix&quot;:&quot;&quot;},{&quot;dropping-particle&quot;:&quot;&quot;,&quot;family&quot;:&quot;Ramezani&quot;,&quot;given&quot;:&quot;Zahra&quot;,&quot;non-dropping-particle&quot;:&quot;&quot;,&quot;parse-names&quot;:false,&quot;suffix&quot;:&quot;&quot;},{&quot;dropping-particle&quot;:&quot;&quot;,&quot;family&quot;:&quot;Amini&quot;,&quot;given&quot;:&quot;Mohsen&quot;,&quot;non-dropping-particle&quot;:&quot;&quot;,&quot;parse-names&quot;:false,&quot;suffix&quot;:&quot;&quot;},{&quot;dropping-particle&quot;:&quot;&quot;,&quot;family&quot;:&quot;Dorkoosh&quot;,&quot;given&quot;:&quot;Farid Abedin&quot;,&quot;non-dropping-particle&quot;:&quot;&quot;,&quot;parse-names&quot;:false,&quot;suffix&quot;:&quot;&quot;},{&quot;dropping-particle&quot;:&quot;&quot;,&quot;family&quot;:&quot;Handali&quot;,&quot;given&quot;:&quot;Somayeh&quot;,&quot;non-dropping-particle&quot;:&quot;&quot;,&quot;parse-names&quot;:false,&quot;suffix&quot;:&quot;&quot;}],&quot;container-title&quot;:&quot;Drug Development and Industrial Pharmacy&quot;,&quot;id&quot;:&quot;928692c5-f894-5953-82eb-c63c106d17ff&quot;,&quot;issue&quot;:&quot;5&quot;,&quot;issued&quot;:{&quot;date-parts&quot;:[[&quot;2018&quot;]]},&quot;page&quot;:&quot;861-867&quot;,&quot;title&quot;:&quot;Effects of coating layer and release medium on release profile from coated capsules with Eudragit FS 30D: an in vitro and in vivo study&quot;,&quot;type&quot;:&quot;article-journal&quot;,&quot;volume&quot;:&quot;44&quot;,&quot;container-title-short&quot;:&quot;&quot;},&quot;uris&quot;:[&quot;http://www.mendeley.com/documents/?uuid=6080a131-30ca-478f-9994-f641b04afee1&quot;],&quot;isTemporary&quot;:false,&quot;legacyDesktopId&quot;:&quot;6080a131-30ca-478f-9994-f641b04afee1&quot;},{&quot;id&quot;:&quot;1da89977-ecf2-5015-bc2d-3c6aac442623&quot;,&quot;itemData&quot;:{&quot;DOI&quot;:&quot;10.3109/10837450.2010.546409&quot;,&quot;ISSN&quot;:&quot;10837450&quot;,&quot;PMID&quot;:&quot;21222512&quot;,&quot;abstract&quot;:&quot;Polymer film based on pH-dependent Eudragit® FS 30 D acrylic polymer in association with arabinoxylane, a polysaccharide issued from gum psyllium, was produced by way of solvent casting. Physical-chemical characterization of the polymer film samples was performed by means of thermogravimetry (TGA), differential scanning calorimetry (DSC), and scanning electron microscopy (SEM). Furthermore, water-equilibrium swelling index (Is) and weight loss of the films in KCl buffer solution of pH 1.2, in KH 2PO 4 buffer solution of pH 5.0, or in KH 2PO 4 buffer solution of pH 5.0 consisting of 4% enzyme Pectinex® 3X-L (w/v) were also carried out for the film characterization. No chemical interactions between the Eudragit® FS 30 D and the arabinoxylane polymer chains were evidenced, thus suggesting that the film-forming polymer structure was obtained from a physical mixture of both polymers. The arabinoxylane-loader films showed a more pronounced weight loss after their immersion in buffer solution containing enzyme Pectinex® 3X-L. The introduction of the arabinoxylane makes the film more susceptible to undergo an enzymatic degradation. This meant that the enzyme-dependent propriety issued from the arabinoxylane has been imprinted into the film formulation. This type of polymer film is an interesting system for applications in colon-specific drug delivery system. © 2012 Informa Healthcare USA, Inc.&quot;,&quot;author&quot;:[{&quot;dropping-particle&quot;:&quot;&quot;,&quot;family&quot;:&quot;Rabito&quot;,&quot;given&quot;:&quot;Mirela Fulgencio&quot;,&quot;non-dropping-particle&quot;:&quot;&quot;,&quot;parse-names&quot;:false,&quot;suffix&quot;:&quot;&quot;},{&quot;dropping-particle&quot;:&quot;&quot;,&quot;family&quot;:&quot;Reis&quot;,&quot;given&quot;:&quot;Adriano Valim&quot;,&quot;non-dropping-particle&quot;:&quot;&quot;,&quot;parse-names&quot;:false,&quot;suffix&quot;:&quot;&quot;},{&quot;dropping-particle&quot;:&quot;Dos&quot;,&quot;family&quot;:&quot;Reis Freitas&quot;,&quot;given&quot;:&quot;Adonilson&quot;,&quot;non-dropping-particle&quot;:&quot;&quot;,&quot;parse-names&quot;:false,&quot;suffix&quot;:&quot;&quot;},{&quot;dropping-particle&quot;:&quot;&quot;,&quot;family&quot;:&quot;Tambourgi&quot;,&quot;given&quot;:&quot;Elias Basile&quot;,&quot;non-dropping-particle&quot;:&quot;&quot;,&quot;parse-names&quot;:false,&quot;suffix&quot;:&quot;&quot;},{&quot;dropping-particle&quot;:&quot;&quot;,&quot;family&quot;:&quot;Cavalcanti&quot;,&quot;given&quot;:&quot;Osvaldo Albuquerque&quot;,&quot;non-dropping-particle&quot;:&quot;&quot;,&quot;parse-names&quot;:false,&quot;suffix&quot;:&quot;&quot;}],&quot;container-title&quot;:&quot;Pharmaceutical Development and Technology&quot;,&quot;id&quot;:&quot;1da89977-ecf2-5015-bc2d-3c6aac442623&quot;,&quot;issue&quot;:&quot;4&quot;,&quot;issued&quot;:{&quot;date-parts&quot;:[[&quot;2012&quot;]]},&quot;page&quot;:&quot;429-436&quot;,&quot;title&quot;:&quot;A pH/enzyme-responsive polymer film consisting of Eudragit® FS 30 D and arabinoxylane as a potential material formulation for colon-specific drug delivery system&quot;,&quot;type&quot;:&quot;article-journal&quot;,&quot;volume&quot;:&quot;17&quot;,&quot;container-title-short&quot;:&quot;&quot;},&quot;uris&quot;:[&quot;http://www.mendeley.com/documents/?uuid=53067972-3075-43cc-b8fa-d991dfbc4a8d&quot;],&quot;isTemporary&quot;:false,&quot;legacyDesktopId&quot;:&quot;53067972-3075-43cc-b8fa-d991dfbc4a8d&quot;},{&quot;id&quot;:&quot;92a0a5d3-bc58-5b44-b41c-7729a7feb931&quot;,&quot;itemData&quot;:{&quot;DOI&quot;:&quot;10.1515/cipms-2015-0053&quot;,&quot;ISSN&quot;:&quot;2084980X&quot;,&quot;abstract&quot;:&quot;The aim of this study was to examine the usefulness of a pH-dependent copolymer - Eudragit FS - for employment in the technology of preparing modified release metronidazole matrix tablets. In addition, in our work, Eudragit RL and Eudragit RS were included in the composition of some formulations, as well as sodium lauryl sulfate and polysorbate 80. As part of the study of the dissolution test, the similarity coefficient (f2) for the obtained profiles was calculated, and mathematic models were used to estimate the kinetics and mechanism of active substance release. In our work, it was observed that the inclusion of polymer Eudragit FS alone in the tablet composition ensured a modified release of the active substance for 10 h. After this time period, the amount of metronidazole determined in the acceptor fluid was 71% - 81% of the declared dose. Modification of the composition by the addition of surfactants resulted in an increased release of the active substance of up to 98%. This effect was dependent on the type of surfactant and its quantitative ratio to the Eudragit FS. Similar release profiles were obtained for tablets containing Eudragit RS and sodium lauryl sulfate, as well as Eudragit RS and polysorbate 80. Depending on the composition of tablets, metronidazole release proceeded in accordance with either first or second-order kinetics. We calculated as well, that the differing masses of Eudragit FS in the studied formulations correlates with the order of release kinetics (p &lt; 0.002). Such an effect was validated using the Weibull model, wherein, in all the studied formulations, the release rate was seen as a decreasing function of time. An analysis of data according to the Ritger-Peppas model and the Peppas-Sahlin model for some formulations, indicated that the mechanism of active substance release from matrix tablets is diffusion.&quot;,&quot;author&quot;:[{&quot;dropping-particle&quot;:&quot;&quot;,&quot;family&quot;:&quot;Letmanski&quot;,&quot;given&quot;:&quot;Tomasz&quot;,&quot;non-dropping-particle&quot;:&quot;&quot;,&quot;parse-names&quot;:false,&quot;suffix&quot;:&quot;&quot;},{&quot;dropping-particle&quot;:&quot;&quot;,&quot;family&quot;:&quot;Kodym&quot;,&quot;given&quot;:&quot;Anna&quot;,&quot;non-dropping-particle&quot;:&quot;&quot;,&quot;parse-names&quot;:false,&quot;suffix&quot;:&quot;&quot;},{&quot;dropping-particle&quot;:&quot;&quot;,&quot;family&quot;:&quot;Weber&quot;,&quot;given&quot;:&quot;Piotr&quot;,&quot;non-dropping-particle&quot;:&quot;&quot;,&quot;parse-names&quot;:false,&quot;suffix&quot;:&quot;&quot;},{&quot;dropping-particle&quot;:&quot;&quot;,&quot;family&quot;:&quot;Lewandowski&quot;,&quot;given&quot;:&quot;Michal&quot;,&quot;non-dropping-particle&quot;:&quot;&quot;,&quot;parse-names&quot;:false,&quot;suffix&quot;:&quot;&quot;},{&quot;dropping-particle&quot;:&quot;&quot;,&quot;family&quot;:&quot;Wisniewski&quot;,&quot;given&quot;:&quot;Andrzej&quot;,&quot;non-dropping-particle&quot;:&quot;&quot;,&quot;parse-names&quot;:false,&quot;suffix&quot;:&quot;&quot;},{&quot;dropping-particle&quot;:&quot;&quot;,&quot;family&quot;:&quot;Baj&quot;,&quot;given&quot;:&quot;Tomasz&quot;,&quot;non-dropping-particle&quot;:&quot;&quot;,&quot;parse-names&quot;:false,&quot;suffix&quot;:&quot;&quot;}],&quot;container-title&quot;:&quot;Current Issues in Pharmacy and Medical Sciences&quot;,&quot;id&quot;:&quot;92a0a5d3-bc58-5b44-b41c-7729a7feb931&quot;,&quot;issue&quot;:&quot;2&quot;,&quot;issued&quot;:{&quot;date-parts&quot;:[[&quot;2015&quot;]]},&quot;page&quot;:&quot;97-104&quot;,&quot;title&quot;:&quot;Eudragit FS 30D as a potential polymer for use in the technology of preparing matrix tablets contain metronidazole - An experimental and mathematical modeling study&quot;,&quot;type&quot;:&quot;article-journal&quot;,&quot;volume&quot;:&quot;28&quot;,&quot;container-title-short&quot;:&quot;&quot;},&quot;uris&quot;:[&quot;http://www.mendeley.com/documents/?uuid=ce7db6b4-f98e-4987-bae0-50b3274119af&quot;],&quot;isTemporary&quot;:false,&quot;legacyDesktopId&quot;:&quot;ce7db6b4-f98e-4987-bae0-50b3274119af&quot;}]},{&quot;citationID&quot;:&quot;MENDELEY_CITATION_189d7113-b658-4544-bc80-31c02bac75b9&quot;,&quot;properties&quot;:{&quot;noteIndex&quot;:0},&quot;isEdited&quot;:false,&quot;manualOverride&quot;:{&quot;citeprocText&quot;:&quot;(Huyghebaert et al., 2004)&quot;,&quot;isManuallyOverridden&quot;:false,&quot;manualOverrideText&quot;:&quot;&quot;},&quot;citationTag&quot;:&quot;MENDELEY_CITATION_v3_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&quot;,&quot;citationItems&quot;:[{&quot;id&quot;:&quot;d6cfadf4-76b2-511f-a0cc-0f09c81c645a&quot;,&quot;itemData&quot;:{&quot;DOI&quot;:&quot;10.1016/j.ejps.2004.01.002&quot;,&quot;ISSN&quot;:&quot;09280987&quot;,&quot;PMID&quot;:&quot;15066662&quot;,&quot;abstract&quot;:&quot;The aim of this study was to develop an alternative method for enteric coating of HPMC capsules that avoids the sealing step before coating, resulting in ready-to-use enteric-coated capsules for the use in retail or hospital pharmacy or R&amp;D sections of pharmaceutical industry and for the production of enteric-coated heat and moisture sensitive biomaterials. HPMC caps and bodies 00 (Vcaps, Capsugel) were coated separately in a fluid bed apparatus prior to filling (GPCG-1, Glatt) with Eudragit® L30D-55 or Eudragit® FS 30 D (Röhm), Aqoat® AS-HF (Shin-Etsu) and Sureteric® (Colorcon), using an optimised coating process. The coated bodies were filled and closed with the coated caps without encountering problems of coating damage. The release in 0.1N HCl after 2h from capsules coated with Eudragit® L30D-55, Eudragit ® FS 30 D, Aqoat® AS-HF and Sureteric ® was 0.6±0.3, 0.6±0.3, 1.2±0.2 and 7.3±1.9%, respectively. The alternative method was reproducible and offered a way to overcome the time-consuming and expensive sealing step required using the conventional coating procedure. The obtained enteric-coated HPMC capsules can be stored (un)-filled for at least 6 months without loosing enteric properties. © 2004 Elsevier B.V. All rights reserved.&quot;,&quot;author&quot;:[{&quot;dropping-particle&quot;:&quot;&quot;,&quot;family&quot;:&quot;Huyghebaert&quot;,&quot;given&quot;:&quot;Nathalie&quot;,&quot;non-dropping-particle&quot;:&quot;&quot;,&quot;parse-names&quot;:false,&quot;suffix&quot;:&quot;&quot;},{&quot;dropping-particle&quot;:&quot;&quot;,&quot;family&quot;:&quot;Vermeire&quot;,&quot;given&quot;:&quot;An&quot;,&quot;non-dropping-particle&quot;:&quot;&quot;,&quot;parse-names&quot;:false,&quot;suffix&quot;:&quot;&quot;},{&quot;dropping-particle&quot;:&quot;&quot;,&quot;family&quot;:&quot;Remon&quot;,&quot;given&quot;:&quot;Jean Paul&quot;,&quot;non-dropping-particle&quot;:&quot;&quot;,&quot;parse-names&quot;:false,&quot;suffix&quot;:&quot;&quot;}],&quot;container-title&quot;:&quot;European Journal of Pharmaceutical Sciences&quot;,&quot;id&quot;:&quot;d6cfadf4-76b2-511f-a0cc-0f09c81c645a&quot;,&quot;issue&quot;:&quot;5&quot;,&quot;issued&quot;:{&quot;date-parts&quot;:[[&quot;2004&quot;]]},&quot;page&quot;:&quot;617-623&quot;,&quot;title&quot;:&quot;Alternative method for enteric coating of HPMC capsules resulting in ready-to-use enteric-coated capsules&quot;,&quot;type&quot;:&quot;article-journal&quot;,&quot;volume&quot;:&quot;21&quot;,&quot;container-title-short&quot;:&quot;&quot;},&quot;uris&quot;:[&quot;http://www.mendeley.com/documents/?uuid=5127f4fa-6200-4330-afc0-6f314702ef22&quot;],&quot;isTemporary&quot;:false,&quot;legacyDesktopId&quot;:&quot;5127f4fa-6200-4330-afc0-6f314702ef22&quot;}]},{&quot;citationID&quot;:&quot;MENDELEY_CITATION_fb1aab20-8b0d-4771-86e8-aeff1f67c1dd&quot;,&quot;properties&quot;:{&quot;noteIndex&quot;:0},&quot;isEdited&quot;:false,&quot;manualOverride&quot;:{&quot;citeprocText&quot;:&quot;(Wesseling et al., 1999)&quot;,&quot;isManuallyOverridden&quot;:false,&quot;manualOverrideText&quot;:&quot;&quot;},&quot;citationTag&quot;:&quot;MENDELEY_CITATION_v3_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&quot;,&quot;citationItems&quot;:[{&quot;id&quot;:&quot;6b87270f-8f54-5672-8b45-ad8461da9c65&quot;,&quot;itemData&quot;:{&quot;DOI&quot;:&quot;10.1016/S0939-6411(98)00091-5&quot;,&quot;ISSN&quot;:&quot;09396411&quot;,&quot;PMID&quot;:&quot;10234529&quot;,&quot;abstract&quot;:&quot;The objective was to determine the tackiness of acrylic and cellulosic polymer films in order to make predictions on the tackiness (agglomeration) of coated dosage forms during coating and curing. Force-displacement curves of the detachment process of two polymeric films were used as a measure of tackiness. Various polymers (cellulosic (Aquacoat®) and acrylics (Eudragit® RS 30D, L 30D, NE 30D)), plasticizers (triacetin, triethyl citrate, tributyl citrate, acetyltributyl citrate) and anti-tacking agents (talc and glyceryl monostearate) were investigated. The order of tackiness for films prepared from the different aqueous polymer dispersions was in order of Eudragit® NE 30D &gt; RS 30D &gt; RL 30D &gt; Aquacoat®. The tackiness increased with increasing plasticizer concentration due to the softening of the polymer. A correlation between the minimum film formation temperature and the tackiness was observed, however, no correlation between the tackiness and the lipophilicity of the plasticizer was seen. Talc and glyceryl monostearate (GMS) reduced the tackiness of the films significantly, with GMS being effective at much lower concentrations. Curing of Eudragit® RS 30D-coated theophylline beads at temperatures higher than 40°C resulted in an irreversible agglomeration of the beads and damage of the coating upon separation of the beads. This resulted in a faster release than with uncured beads. Blending the beads with talc just prior to the curing step eliminated the agglomeration and therefore film damage, even at a curing temperature of 60°C. Copyright (C) 1999 Elsevier Science B.V.&quot;,&quot;author&quot;:[{&quot;dropping-particle&quot;:&quot;&quot;,&quot;family&quot;:&quot;Wesseling&quot;,&quot;given&quot;:&quot;Martin&quot;,&quot;non-dropping-particle&quot;:&quot;&quot;,&quot;parse-names&quot;:false,&quot;suffix&quot;:&quot;&quot;},{&quot;dropping-particle&quot;:&quot;&quot;,&quot;family&quot;:&quot;Kuppler&quot;,&quot;given&quot;:&quot;Frank&quot;,&quot;non-dropping-particle&quot;:&quot;&quot;,&quot;parse-names&quot;:false,&quot;suffix&quot;:&quot;&quot;},{&quot;dropping-particle&quot;:&quot;&quot;,&quot;family&quot;:&quot;Bodmeier&quot;,&quot;given&quot;:&quot;Roland&quot;,&quot;non-dropping-particle&quot;:&quot;&quot;,&quot;parse-names&quot;:false,&quot;suffix&quot;:&quot;&quot;}],&quot;container-title&quot;:&quot;European Journal of Pharmaceutics and Biopharmaceutics&quot;,&quot;id&quot;:&quot;6b87270f-8f54-5672-8b45-ad8461da9c65&quot;,&quot;issue&quot;:&quot;1&quot;,&quot;issued&quot;:{&quot;date-parts&quot;:[[&quot;1999&quot;]]},&quot;page&quot;:&quot;73-78&quot;,&quot;title&quot;:&quot;Tackiness of acrylic and cellulosic polymer films used in the coating of solid dosage forms&quot;,&quot;type&quot;:&quot;article-journal&quot;,&quot;volume&quot;:&quot;47&quot;,&quot;container-title-short&quot;:&quot;&quot;},&quot;uris&quot;:[&quot;http://www.mendeley.com/documents/?uuid=9be6f374-ad28-4fcc-b9ea-7a9a076646a4&quot;],&quot;isTemporary&quot;:false,&quot;legacyDesktopId&quot;:&quot;9be6f374-ad28-4fcc-b9ea-7a9a076646a4&quot;}]},{&quot;citationID&quot;:&quot;MENDELEY_CITATION_e45fc7e1-e689-470b-9c7d-b823650d21b4&quot;,&quot;properties&quot;:{&quot;noteIndex&quot;:0},&quot;isEdited&quot;:false,&quot;manualOverride&quot;:{&quot;citeprocText&quot;:&quot;(Maejima and McGinity, 2001; Wu and McGinity, 2003)&quot;,&quot;isManuallyOverridden&quot;:false,&quot;manualOverrideText&quot;:&quot;&quot;},&quot;citationTag&quot;:&quot;MENDELEY_CITATION_v3_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&quot;,&quot;citationItems&quot;:[{&quot;id&quot;:&quot;9ebe7df8-ec3b-569c-8a8a-2f8392687f42&quot;,&quot;itemData&quot;:{&quot;DOI&quot;:&quot;10.1081/PDT-120017529&quot;,&quot;ISSN&quot;:&quot;10837450&quot;,&quot;PMID&quot;:&quot;12665203&quot;,&quot;abstract&quot;:&quot;The purpose of this research study was to investigate the influence of an enteric polymer on the drug release properties of theophylline pellets coated with Eudragit® RS 30D. Theophylline pellets were coated with aqueous colloidal dispersions of Eudragit® RS 30D containing various amounts of Eudragit® L 100-55. The effect of storage conditions on the release of drug from coated pellets was determined as a function of the pH of the dissolution medium. The results from the dissolution study showed significant changes in the dissolution rate of theophylline from pellets coated with Eudragit® RS 30D when cured at 40°C for 4 days. No change in the drug release rate was observed when Eudragit® L100-55 was present in the Eudragit® RS 30D dispersion. Increasing the ratio of Eudragit® L100-55 to Eudragit® RS 30D resulted in faster drug release rates from the coated pellets. An increase in the pH of the dissolution medium was found to enhance drug release from the pellets coated with Eudragit® RS 30D containing Eudragit® L 100-55. Theophylline pellets when coated with Eudragit® RS 30D containing the enteric polymer Eudragit® L100-55 demonstrated no aging effects when stored at elevated temperatures. The overcoating of the pellets with Eudragit® RD 100 did not affect the drug release profiles and prevented the particles from agglomerating during curing and storage.&quot;,&quot;author&quot;:[{&quot;dropping-particle&quot;:&quot;&quot;,&quot;family&quot;:&quot;Wu&quot;,&quot;given&quot;:&quot;Chuanbin&quot;,&quot;non-dropping-particle&quot;:&quot;&quot;,&quot;parse-names&quot;:false,&quot;suffix&quot;:&quot;&quot;},{&quot;dropping-particle&quot;:&quot;&quot;,&quot;family&quot;:&quot;McGinity&quot;,&quot;given&quot;:&quot;James W.&quot;,&quot;non-dropping-particle&quot;:&quot;&quot;,&quot;parse-names&quot;:false,&quot;suffix&quot;:&quot;&quot;}],&quot;container-title&quot;:&quot;Pharmaceutical Development and Technology&quot;,&quot;id&quot;:&quot;9ebe7df8-ec3b-569c-8a8a-2f8392687f42&quot;,&quot;issue&quot;:&quot;1&quot;,&quot;issued&quot;:{&quot;date-parts&quot;:[[&quot;2003&quot;]]},&quot;page&quot;:&quot;103-110&quot;,&quot;title&quot;:&quot;Influence of an enteric polymer on drug release rates of theophylline from pellets coated with Eudragit® RS 30D&quot;,&quot;type&quot;:&quot;article-journal&quot;,&quot;volume&quot;:&quot;8&quot;,&quot;container-title-short&quot;:&quot;&quot;},&quot;uris&quot;:[&quot;http://www.mendeley.com/documents/?uuid=4787ed1d-61ee-416d-8bee-a7181dd5b559&quot;],&quot;isTemporary&quot;:false,&quot;legacyDesktopId&quot;:&quot;4787ed1d-61ee-416d-8bee-a7181dd5b559&quot;},{&quot;id&quot;:&quot;214b359d-b42f-5b73-8b80-a9d357a823c8&quot;,&quot;itemData&quot;:{&quot;DOI&quot;:&quot;10.1081/PDT-100002197&quot;,&quot;ISSN&quot;:&quot;10837450&quot;,&quot;PMID&quot;:&quot;11416995&quot;,&quot;abstract&quot;:&quot;The objective of this study was to investigate the influence of talc and triethyl citrate (TEC) on stabilizing the drug release rates following curing and storage at elevated temperature of pellets coated with an aqueous acrylic polymeric dispersion. Core pellets containing anhydrous theophylline (20%), microcrystalline cellulose, and polyvinylpyrrolidone were prepared by extrusion-spheronization. The aqueous dispersions were prepared by adding up to 30% TEC as a plasticizer and talc up to 200% as an antiadherent to a mixture of Eudragit RS 30D/RL 30D (95:5). The theophylline pellets were coated in a fluidized-bed coating unit and then cured at elevated temperatures. Theophylline pellets were successfully coated with the Eudragit dispersions that contained up to 200% talc, based on the dry polymer weight, and the coating efficiency was greater than 93%. Our results demonstrated that the polymer, which was plasticized by TEC, was able to function as a film-forming agent for dispersions containing high levels of talc. No sticking of the coated pellets was observed during the coating process or during the curing or equilibrating phase, even with high levels of TEC in the film. The dissolution rate of theophylline from the coated pellets was delayed when the film coating dispersion contained high levels of talc. Additionally, the stability of the drug release profiles from the coated pellets after storage was significantly improved. Furthermore, a modified dissolution testing used to simulate mechanical stresses that may be encountered in vivo showed the film coated pellets would have sufficient strength. The results of this study demonstrated that high levels of film additives in the acrylic dispersion contributed to the stabilization of the drug release rates as well as the reproducibility of the coating process.&quot;,&quot;author&quot;:[{&quot;dropping-particle&quot;:&quot;&quot;,&quot;family&quot;:&quot;Maejima&quot;,&quot;given&quot;:&quot;Toru&quot;,&quot;non-dropping-particle&quot;:&quot;&quot;,&quot;parse-names&quot;:false,&quot;suffix&quot;:&quot;&quot;},{&quot;dropping-particle&quot;:&quot;&quot;,&quot;family&quot;:&quot;McGinity&quot;,&quot;given&quot;:&quot;James W.&quot;,&quot;non-dropping-particle&quot;:&quot;&quot;,&quot;parse-names&quot;:false,&quot;suffix&quot;:&quot;&quot;}],&quot;container-title&quot;:&quot;Pharmaceutical Development and Technology&quot;,&quot;id&quot;:&quot;214b359d-b42f-5b73-8b80-a9d357a823c8&quot;,&quot;issue&quot;:&quot;2&quot;,&quot;issued&quot;:{&quot;date-parts&quot;:[[&quot;2001&quot;]]},&quot;page&quot;:&quot;211-221&quot;,&quot;title&quot;:&quot;Influence of film additives on stabilizing drug release rates from pellets coated with acrylic polymers&quot;,&quot;type&quot;:&quot;article-journal&quot;,&quot;volume&quot;:&quot;6&quot;,&quot;container-title-short&quot;:&quot;&quot;},&quot;uris&quot;:[&quot;http://www.mendeley.com/documents/?uuid=e862d3b3-5058-48cd-a35b-88d90849b3c1&quot;],&quot;isTemporary&quot;:false,&quot;legacyDesktopId&quot;:&quot;e862d3b3-5058-48cd-a35b-88d90849b3c1&quot;}]},{&quot;citationID&quot;:&quot;MENDELEY_CITATION_d977d3ec-140e-49ab-873e-12db35f48fa5&quot;,&quot;properties&quot;:{&quot;noteIndex&quot;:0},&quot;isEdited&quot;:false,&quot;manualOverride&quot;:{&quot;citeprocText&quot;:&quot;(El-Malah and Nazzal, 2008)&quot;,&quot;isManuallyOverridden&quot;:false,&quot;manualOverrideText&quot;:&quot;&quot;},&quot;citationTag&quot;:&quot;MENDELEY_CITATION_v3_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&quot;,&quot;citationItems&quot;:[{&quot;id&quot;:&quot;ca9ffb3a-5e5f-58f6-be23-91f6b8e280f2&quot;,&quot;itemData&quot;:{&quot;DOI&quot;:&quot;10.1208/s12249-007-9008-6&quot;,&quot;ISSN&quot;:&quot;15309932&quot;,&quot;PMID&quot;:&quot;18446464&quot;,&quot;abstract&quot;:&quot;The aim of this study was to investigate the effect of Eudragit® RS 30D, talc, and verapamil hydrochloride on dissolution and mechanical properties of beads coated with \&quot;drug-layered matrices\&quot;. This was accomplished with the aid of a three-factor multiple-level factorial design using percent drug release in 1 and 2 h, T50, tensile strength, brittleness, stiffness and toughness as the responses. Beads were coated in a fluidized-bed coating unit. Surface morphology and mechanical properties were evaluated by surface profilometry and texture analysis, respectively. No cracks, flaws and fissures were observed on the surfaces. The mechanical properties were dependent on the talc/ polymer ratio. The release of verapamil from the beads was influenced by matrix components. Increasing the level of both talc and Eudragit decreased the percent drug released from 67% to 4.8% and from 80.7% to 6.7% in 1 and 2 h, respectively, and increased T50 from 0.8 to 25.7 h. It was concluded that beads could be efficiently coated with \&quot;drug-layered matrices\&quot;. The release of drug, however, depends on a balance between the levels of drug, talc, and polymer, whereby desired dissolution and mechanical properties could be controlled by the talc/polymer ratio and the level of drug loading. © American Association of Pharmaceutical Scientists 2007.&quot;,&quot;author&quot;:[{&quot;dropping-particle&quot;:&quot;&quot;,&quot;family&quot;:&quot;El-Malah&quot;,&quot;given&quot;:&quot;Yasser&quot;,&quot;non-dropping-particle&quot;:&quot;&quot;,&quot;parse-names&quot;:false,&quot;suffix&quot;:&quot;&quot;},{&quot;dropping-particle&quot;:&quot;&quot;,&quot;family&quot;:&quot;Nazzal&quot;,&quot;given&quot;:&quot;Sami&quot;,&quot;non-dropping-particle&quot;:&quot;&quot;,&quot;parse-names&quot;:false,&quot;suffix&quot;:&quot;&quot;}],&quot;container-title&quot;:&quot;AAPS PharmSciTech&quot;,&quot;id&quot;:&quot;ca9ffb3a-5e5f-58f6-be23-91f6b8e280f2&quot;,&quot;issue&quot;:&quot;1&quot;,&quot;issued&quot;:{&quot;date-parts&quot;:[[&quot;2008&quot;]]},&quot;page&quot;:&quot;75-83&quot;,&quot;title&quot;:&quot;Effect of Eudragit® RS 30D and talc powder on verapamil hydrochloride release from beads coated with drug layered matrices&quot;,&quot;type&quot;:&quot;article-journal&quot;,&quot;volume&quot;:&quot;9&quot;,&quot;container-title-short&quot;:&quot;AAPS PharmSciTech&quot;},&quot;uris&quot;:[&quot;http://www.mendeley.com/documents/?uuid=15290399-f192-4787-bfdf-6a80edd74cd8&quot;],&quot;isTemporary&quot;:false,&quot;legacyDesktopId&quot;:&quot;15290399-f192-4787-bfdf-6a80edd74cd8&quot;}]},{&quot;citationID&quot;:&quot;MENDELEY_CITATION_7aded189-c7d4-4d76-b388-6e4eaef72ca0&quot;,&quot;properties&quot;:{&quot;noteIndex&quot;:0},&quot;isEdited&quot;:false,&quot;manualOverride&quot;:{&quot;citeprocText&quot;:&quot;(El-Malah and Nazzal, 2008)&quot;,&quot;isManuallyOverridden&quot;:false,&quot;manualOverrideText&quot;:&quot;&quot;},&quot;citationTag&quot;:&quot;MENDELEY_CITATION_v3_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&quot;,&quot;citationItems&quot;:[{&quot;id&quot;:&quot;ca9ffb3a-5e5f-58f6-be23-91f6b8e280f2&quot;,&quot;itemData&quot;:{&quot;DOI&quot;:&quot;10.1208/s12249-007-9008-6&quot;,&quot;ISSN&quot;:&quot;15309932&quot;,&quot;PMID&quot;:&quot;18446464&quot;,&quot;abstract&quot;:&quot;The aim of this study was to investigate the effect of Eudragit® RS 30D, talc, and verapamil hydrochloride on dissolution and mechanical properties of beads coated with \&quot;drug-layered matrices\&quot;. This was accomplished with the aid of a three-factor multiple-level factorial design using percent drug release in 1 and 2 h, T50, tensile strength, brittleness, stiffness and toughness as the responses. Beads were coated in a fluidized-bed coating unit. Surface morphology and mechanical properties were evaluated by surface profilometry and texture analysis, respectively. No cracks, flaws and fissures were observed on the surfaces. The mechanical properties were dependent on the talc/ polymer ratio. The release of verapamil from the beads was influenced by matrix components. Increasing the level of both talc and Eudragit decreased the percent drug released from 67% to 4.8% and from 80.7% to 6.7% in 1 and 2 h, respectively, and increased T50 from 0.8 to 25.7 h. It was concluded that beads could be efficiently coated with \&quot;drug-layered matrices\&quot;. The release of drug, however, depends on a balance between the levels of drug, talc, and polymer, whereby desired dissolution and mechanical properties could be controlled by the talc/polymer ratio and the level of drug loading. © American Association of Pharmaceutical Scientists 2007.&quot;,&quot;author&quot;:[{&quot;dropping-particle&quot;:&quot;&quot;,&quot;family&quot;:&quot;El-Malah&quot;,&quot;given&quot;:&quot;Yasser&quot;,&quot;non-dropping-particle&quot;:&quot;&quot;,&quot;parse-names&quot;:false,&quot;suffix&quot;:&quot;&quot;},{&quot;dropping-particle&quot;:&quot;&quot;,&quot;family&quot;:&quot;Nazzal&quot;,&quot;given&quot;:&quot;Sami&quot;,&quot;non-dropping-particle&quot;:&quot;&quot;,&quot;parse-names&quot;:false,&quot;suffix&quot;:&quot;&quot;}],&quot;container-title&quot;:&quot;AAPS PharmSciTech&quot;,&quot;id&quot;:&quot;ca9ffb3a-5e5f-58f6-be23-91f6b8e280f2&quot;,&quot;issue&quot;:&quot;1&quot;,&quot;issued&quot;:{&quot;date-parts&quot;:[[&quot;2008&quot;]]},&quot;page&quot;:&quot;75-83&quot;,&quot;title&quot;:&quot;Effect of Eudragit® RS 30D and talc powder on verapamil hydrochloride release from beads coated with drug layered matrices&quot;,&quot;type&quot;:&quot;article-journal&quot;,&quot;volume&quot;:&quot;9&quot;,&quot;container-title-short&quot;:&quot;AAPS PharmSciTech&quot;},&quot;uris&quot;:[&quot;http://www.mendeley.com/documents/?uuid=15290399-f192-4787-bfdf-6a80edd74cd8&quot;],&quot;isTemporary&quot;:false,&quot;legacyDesktopId&quot;:&quot;15290399-f192-4787-bfdf-6a80edd74cd8&quot;}]},{&quot;citationID&quot;:&quot;MENDELEY_CITATION_2db1f4fb-811f-4391-aada-e00d8a0dfec4&quot;,&quot;properties&quot;:{&quot;noteIndex&quot;:0},&quot;isEdited&quot;:false,&quot;manualOverride&quot;:{&quot;citeprocText&quot;:&quot;(Stato, n.d.)&quot;,&quot;isManuallyOverridden&quot;:false,&quot;manualOverrideText&quot;:&quot;&quot;},&quot;citationTag&quot;:&quot;MENDELEY_CITATION_v3_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&quot;,&quot;citationItems&quot;:[{&quot;id&quot;:&quot;05d4202e-fd49-53ca-a45d-97d6610d9bb3&quot;,&quot;itemData&quot;:{&quot;author&quot;:[{&quot;dropping-particle&quot;:&quot;di&quot;,&quot;family&quot;:&quot;Stato&quot;,&quot;given&quot;:&quot;Poligrafo&quot;,&quot;non-dropping-particle&quot;:&quot;&quot;,&quot;parse-names&quot;:false,&quot;suffix&quot;:&quot;&quot;}],&quot;id&quot;:&quot;05d4202e-fd49-53ca-a45d-97d6610d9bb3&quot;,&quot;issued&quot;:{&quot;date-parts&quot;:[[&quot;0&quot;]]},&quot;title&quot;:&quot;Italian Official Pharmacopoeia XII edition&quot;,&quot;type&quot;:&quot;article-journal&quot;,&quot;container-title-short&quot;:&quot;&quot;},&quot;uris&quot;:[&quot;http://www.mendeley.com/documents/?uuid=d3efc425-0151-42dd-85da-fa04d5f0c6a8&quot;],&quot;isTemporary&quot;:false,&quot;legacyDesktopId&quot;:&quot;d3efc425-0151-42dd-85da-fa04d5f0c6a8&quot;}]},{&quot;citationID&quot;:&quot;MENDELEY_CITATION_82c7374a-a99d-40be-a07b-16a2d19aaf1d&quot;,&quot;properties&quot;:{&quot;noteIndex&quot;:0},&quot;isEdited&quot;:false,&quot;manualOverride&quot;:{&quot;citeprocText&quot;:&quot;(Gao et al., 2006)&quot;,&quot;isManuallyOverridden&quot;:false,&quot;manualOverrideText&quot;:&quot;&quot;},&quot;citationTag&quot;:&quot;MENDELEY_CITATION_v3_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&quot;,&quot;citationItems&quot;:[{&quot;id&quot;:&quot;161d06d8-24b9-5da5-b2b0-07ab5c003ccf&quot;,&quot;itemData&quot;:{&quot;DOI&quot;:&quot;10.1016/j.ijpharm.2006.05.035&quot;,&quot;ISSN&quot;:&quot;03785173&quot;,&quot;PMID&quot;:&quot;16806752&quot;,&quot;abstract&quot;:&quot;The objective of this study was to develop meloxicam-loaded colon-specific pellets coated with Eudragit® FS 30 D and further evaluate their in vitro release and in vivo absorption in beagle dogs. Meloxicam-loaded cores (drug loading, 4.8%, w/w) were prepared by layering drug-binder (HPMC)-solubilizer (β-cyclodextrin) solution onto nonpareils (710-850 μm) and then coated with a copolymer of methyl acrylate, methyl methacrylate and methacrylic acid (Eudragit® FS 30 D). The obtained pellets with 15% (w/w) coating level had a spherical form and a smooth surface with coating thickness approximately 28 μm. The in vitro drug release from the pellets was pH-dependent with sufficient gastric resistance (pH 1.2: no release; pH 6.8: 6%; pH 7.0: 52%; pH 7.2: 100%; pH 7.4: 100%, after 3 h incubation). In vivo study was carried out using pentagastrin-pretreated beagle dogs. The onset of meloxicam absorption from the coated pellets with 15% (w/w) Eudragit® FS 30 D (3.0 ± 0.8 h) was significantly delayed (p &lt; 0.05) compared to that from the uncoated drug-layered cores (0.6 ± 0.3 h). The area under the meloxicam plasma concentration-time curve (AUC0→96 h) was not significantly different between the two preparations (p &gt; 0.05), although AUC0→96 h obtained after oral administration of coated pellets (142.5 ± 59.6 μg h/ml) was lower than that obtained after administration of uncoated drug-layered cores (180.8 ± 61.9 μg h/ml). These results suggested that meloxicam could be delivered to the colon with 15% (w/w) coating level of Eudragit® FS 30 D and this polymer coating had no significant influence on the relative bioavailability of meloxicam of the pellets. © 2006 Elsevier B.V. All rights reserved.&quot;,&quot;author&quot;:[{&quot;dropping-particle&quot;:&quot;&quot;,&quot;family&quot;:&quot;Gao&quot;,&quot;given&quot;:&quot;Chunsheng&quot;,&quot;non-dropping-particle&quot;:&quot;&quot;,&quot;parse-names&quot;:false,&quot;suffix&quot;:&quot;&quot;},{&quot;dropping-particle&quot;:&quot;&quot;,&quot;family&quot;:&quot;Huang&quot;,&quot;given&quot;:&quot;Jian&quot;,&quot;non-dropping-particle&quot;:&quot;&quot;,&quot;parse-names&quot;:false,&quot;suffix&quot;:&quot;&quot;},{&quot;dropping-particle&quot;:&quot;&quot;,&quot;family&quot;:&quot;Jiao&quot;,&quot;given&quot;:&quot;Yan&quot;,&quot;non-dropping-particle&quot;:&quot;&quot;,&quot;parse-names&quot;:false,&quot;suffix&quot;:&quot;&quot;},{&quot;dropping-particle&quot;:&quot;&quot;,&quot;family&quot;:&quot;Shan&quot;,&quot;given&quot;:&quot;Li&quot;,&quot;non-dropping-particle&quot;:&quot;&quot;,&quot;parse-names&quot;:false,&quot;suffix&quot;:&quot;&quot;},{&quot;dropping-particle&quot;:&quot;&quot;,&quot;family&quot;:&quot;Liu&quot;,&quot;given&quot;:&quot;Yan&quot;,&quot;non-dropping-particle&quot;:&quot;&quot;,&quot;parse-names&quot;:false,&quot;suffix&quot;:&quot;&quot;},{&quot;dropping-particle&quot;:&quot;&quot;,&quot;family&quot;:&quot;Li&quot;,&quot;given&quot;:&quot;Ying&quot;,&quot;non-dropping-particle&quot;:&quot;&quot;,&quot;parse-names&quot;:false,&quot;suffix&quot;:&quot;&quot;},{&quot;dropping-particle&quot;:&quot;&quot;,&quot;family&quot;:&quot;Mei&quot;,&quot;given&quot;:&quot;Xingguo&quot;,&quot;non-dropping-particle&quot;:&quot;&quot;,&quot;parse-names&quot;:false,&quot;suffix&quot;:&quot;&quot;}],&quot;container-title&quot;:&quot;International Journal of Pharmaceutics&quot;,&quot;id&quot;:&quot;161d06d8-24b9-5da5-b2b0-07ab5c003ccf&quot;,&quot;issue&quot;:&quot;1-2&quot;,&quot;issued&quot;:{&quot;date-parts&quot;:[[&quot;2006&quot;]]},&quot;page&quot;:&quot;104-112&quot;,&quot;title&quot;:&quot;In vitro release and in vivo absorption in beagle dogs of meloxicam from Eudragit® FS 30 D-coated pellets&quot;,&quot;type&quot;:&quot;article-journal&quot;,&quot;volume&quot;:&quot;322&quot;,&quot;container-title-short&quot;:&quot;&quot;},&quot;uris&quot;:[&quot;http://www.mendeley.com/documents/?uuid=59508476-b7d9-44f9-a378-0c9b38c2ee49&quot;],&quot;isTemporary&quot;:false,&quot;legacyDesktopId&quot;:&quot;59508476-b7d9-44f9-a378-0c9b38c2ee49&quot;}]}]"/>
    <we:property name="MENDELEY_CITATIONS_STYLE" value="{&quot;id&quot;:&quot;https://www.zotero.org/styles/international-journal-of-pharmaceutics&quot;,&quot;title&quot;:&quot;International Journal of Pharmaceutics&quot;,&quot;format&quot;:&quot;author-dat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laq</b:Tag>
    <b:SourceType>Book</b:SourceType>
    <b:Guid>{46262D80-7009-4DA7-99C7-1157C66BBD27}</b:Guid>
    <b:Author>
      <b:Author>
        <b:NameList>
          <b:Person>
            <b:Last>laquintana</b:Last>
          </b:Person>
        </b:NameList>
      </b:Author>
    </b:Author>
    <b:RefOrder>1</b:RefOrder>
  </b:Source>
</b:Sources>
</file>

<file path=customXml/itemProps1.xml><?xml version="1.0" encoding="utf-8"?>
<ds:datastoreItem xmlns:ds="http://schemas.openxmlformats.org/officeDocument/2006/customXml" ds:itemID="{B6346B2C-0011-42B5-AE15-CEBFBA258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12675</Words>
  <Characters>72250</Characters>
  <Application>Microsoft Office Word</Application>
  <DocSecurity>0</DocSecurity>
  <Lines>602</Lines>
  <Paragraphs>169</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84756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monicapistone@outlook.it</dc:creator>
  <cp:lastModifiedBy>Antonio Lopalco</cp:lastModifiedBy>
  <cp:revision>2</cp:revision>
  <dcterms:created xsi:type="dcterms:W3CDTF">2024-12-09T10:32:00Z</dcterms:created>
  <dcterms:modified xsi:type="dcterms:W3CDTF">2024-12-09T10:32:00Z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163f229c-5367-3848-8d3f-34a4fa1007cf</vt:lpwstr>
  </property>
  <property fmtid="{D5CDD505-2E9C-101B-9397-08002B2CF9AE}" pid="4" name="Mendeley Citation Style_1">
    <vt:lpwstr>http://www.zotero.org/styles/international-journal-of-pharmaceutics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http://www.zotero.org/styles/international-journal-of-pharmaceutics</vt:lpwstr>
  </property>
  <property fmtid="{D5CDD505-2E9C-101B-9397-08002B2CF9AE}" pid="18" name="Mendeley Recent Style Name 6_1">
    <vt:lpwstr>International Journal of Pharmaceutics</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GrammarlyDocumentId">
    <vt:lpwstr>d961d3f0203b824f5a593a504ad79ed326f2c585fb1dc925b0c605a6c7b4b7bc</vt:lpwstr>
  </property>
</Properties>
</file>