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AD4F1" w14:textId="77777777" w:rsidR="00E0319A" w:rsidRDefault="00E0319A" w:rsidP="00E0319A">
      <w:pPr>
        <w:pStyle w:val="xmsolistparagraph"/>
        <w:shd w:val="clear" w:color="auto" w:fill="FFFFFF"/>
        <w:spacing w:after="0" w:line="276" w:lineRule="auto"/>
        <w:jc w:val="both"/>
        <w:rPr>
          <w:rFonts w:ascii="Calibri" w:hAnsi="Calibri" w:cs="Calibri"/>
          <w:b/>
          <w:bCs/>
          <w:color w:val="000000"/>
          <w:sz w:val="22"/>
          <w:szCs w:val="22"/>
          <w:lang w:val="en-US"/>
        </w:rPr>
      </w:pPr>
      <w:bookmarkStart w:id="0" w:name="_Hlk151725235"/>
      <w:r>
        <w:rPr>
          <w:rFonts w:ascii="Calibri" w:hAnsi="Calibri" w:cs="Calibri"/>
          <w:b/>
          <w:bCs/>
          <w:color w:val="000000"/>
          <w:sz w:val="22"/>
          <w:szCs w:val="22"/>
          <w:bdr w:val="none" w:sz="0" w:space="0" w:color="auto" w:frame="1"/>
          <w:shd w:val="clear" w:color="auto" w:fill="FFFFFF"/>
          <w:lang w:val="en-US"/>
        </w:rPr>
        <w:t>Myasthenia Gravis treatment: from old drugs to innovative therapies with a glimpse into the future</w:t>
      </w:r>
    </w:p>
    <w:p w14:paraId="5B97CE35" w14:textId="77777777" w:rsidR="00E0319A" w:rsidRDefault="00E0319A" w:rsidP="00E0319A">
      <w:pPr>
        <w:pStyle w:val="xmsolistparagraph"/>
        <w:shd w:val="clear" w:color="auto" w:fill="FFFFFF"/>
        <w:spacing w:after="0" w:line="276" w:lineRule="auto"/>
        <w:jc w:val="both"/>
        <w:rPr>
          <w:rFonts w:ascii="Calibri" w:hAnsi="Calibri" w:cs="Calibri"/>
          <w:color w:val="000000"/>
          <w:sz w:val="22"/>
          <w:szCs w:val="22"/>
        </w:rPr>
      </w:pPr>
      <w:r w:rsidRPr="0061633C">
        <w:rPr>
          <w:rFonts w:ascii="Calibri" w:hAnsi="Calibri" w:cs="Calibri"/>
          <w:color w:val="000000"/>
          <w:sz w:val="22"/>
          <w:szCs w:val="22"/>
        </w:rPr>
        <w:t>Salvatore Crisafulli</w:t>
      </w:r>
      <w:r w:rsidRPr="00370EBC">
        <w:rPr>
          <w:rFonts w:ascii="Calibri" w:hAnsi="Calibri" w:cs="Calibri"/>
          <w:color w:val="000000"/>
          <w:sz w:val="22"/>
          <w:szCs w:val="22"/>
          <w:vertAlign w:val="superscript"/>
        </w:rPr>
        <w:t>1</w:t>
      </w:r>
      <w:r>
        <w:rPr>
          <w:rFonts w:ascii="Calibri" w:hAnsi="Calibri" w:cs="Calibri"/>
          <w:color w:val="000000"/>
          <w:sz w:val="22"/>
          <w:szCs w:val="22"/>
          <w:vertAlign w:val="superscript"/>
        </w:rPr>
        <w:t>*</w:t>
      </w:r>
      <w:r>
        <w:rPr>
          <w:rFonts w:ascii="Calibri" w:hAnsi="Calibri" w:cs="Calibri"/>
          <w:color w:val="000000"/>
          <w:sz w:val="22"/>
          <w:szCs w:val="22"/>
        </w:rPr>
        <w:t xml:space="preserve">, </w:t>
      </w:r>
      <w:r w:rsidRPr="0061633C">
        <w:rPr>
          <w:rFonts w:ascii="Calibri" w:hAnsi="Calibri" w:cs="Calibri"/>
          <w:color w:val="000000"/>
          <w:sz w:val="22"/>
          <w:szCs w:val="22"/>
        </w:rPr>
        <w:t>Brigida Boccanegra</w:t>
      </w:r>
      <w:r w:rsidRPr="00370EBC">
        <w:rPr>
          <w:rFonts w:ascii="Calibri" w:hAnsi="Calibri" w:cs="Calibri"/>
          <w:color w:val="000000"/>
          <w:sz w:val="22"/>
          <w:szCs w:val="22"/>
          <w:vertAlign w:val="superscript"/>
        </w:rPr>
        <w:t>2</w:t>
      </w:r>
      <w:r>
        <w:rPr>
          <w:rFonts w:ascii="Calibri" w:hAnsi="Calibri" w:cs="Calibri"/>
          <w:color w:val="000000"/>
          <w:sz w:val="22"/>
          <w:szCs w:val="22"/>
          <w:vertAlign w:val="superscript"/>
        </w:rPr>
        <w:t>*</w:t>
      </w:r>
      <w:r>
        <w:rPr>
          <w:rFonts w:ascii="Calibri" w:hAnsi="Calibri" w:cs="Calibri"/>
          <w:color w:val="000000"/>
          <w:sz w:val="22"/>
          <w:szCs w:val="22"/>
        </w:rPr>
        <w:t>, Massimo Carollo</w:t>
      </w:r>
      <w:r w:rsidRPr="00370EBC">
        <w:rPr>
          <w:rFonts w:ascii="Calibri" w:hAnsi="Calibri" w:cs="Calibri"/>
          <w:color w:val="000000"/>
          <w:sz w:val="22"/>
          <w:szCs w:val="22"/>
          <w:vertAlign w:val="superscript"/>
        </w:rPr>
        <w:t>3</w:t>
      </w:r>
      <w:r>
        <w:rPr>
          <w:rFonts w:ascii="Calibri" w:hAnsi="Calibri" w:cs="Calibri"/>
          <w:color w:val="000000"/>
          <w:sz w:val="22"/>
          <w:szCs w:val="22"/>
        </w:rPr>
        <w:t>,</w:t>
      </w:r>
      <w:r w:rsidRPr="0061633C">
        <w:rPr>
          <w:rFonts w:ascii="Calibri" w:hAnsi="Calibri" w:cs="Calibri"/>
          <w:color w:val="000000"/>
          <w:sz w:val="22"/>
          <w:szCs w:val="22"/>
        </w:rPr>
        <w:t xml:space="preserve"> </w:t>
      </w:r>
      <w:r>
        <w:rPr>
          <w:rFonts w:ascii="Calibri" w:hAnsi="Calibri" w:cs="Calibri"/>
          <w:color w:val="000000"/>
          <w:sz w:val="22"/>
          <w:szCs w:val="22"/>
        </w:rPr>
        <w:t>Emanuela Bottani</w:t>
      </w:r>
      <w:r w:rsidRPr="00370EBC">
        <w:rPr>
          <w:rFonts w:ascii="Calibri" w:hAnsi="Calibri" w:cs="Calibri"/>
          <w:color w:val="000000"/>
          <w:sz w:val="22"/>
          <w:szCs w:val="22"/>
          <w:vertAlign w:val="superscript"/>
        </w:rPr>
        <w:t>3</w:t>
      </w:r>
      <w:r>
        <w:rPr>
          <w:rFonts w:ascii="Calibri" w:hAnsi="Calibri" w:cs="Calibri"/>
          <w:color w:val="000000"/>
          <w:sz w:val="22"/>
          <w:szCs w:val="22"/>
        </w:rPr>
        <w:t>, Paola Mantuano</w:t>
      </w:r>
      <w:r w:rsidRPr="00370EBC">
        <w:rPr>
          <w:rFonts w:ascii="Calibri" w:hAnsi="Calibri" w:cs="Calibri"/>
          <w:color w:val="000000"/>
          <w:sz w:val="22"/>
          <w:szCs w:val="22"/>
          <w:vertAlign w:val="superscript"/>
        </w:rPr>
        <w:t>2</w:t>
      </w:r>
      <w:r>
        <w:rPr>
          <w:rFonts w:ascii="Calibri" w:hAnsi="Calibri" w:cs="Calibri"/>
          <w:color w:val="000000"/>
          <w:sz w:val="22"/>
          <w:szCs w:val="22"/>
        </w:rPr>
        <w:t xml:space="preserve">, </w:t>
      </w:r>
      <w:r w:rsidRPr="0061633C">
        <w:rPr>
          <w:rFonts w:ascii="Calibri" w:hAnsi="Calibri" w:cs="Calibri"/>
          <w:color w:val="000000"/>
          <w:sz w:val="22"/>
          <w:szCs w:val="22"/>
        </w:rPr>
        <w:t>Gianluca Trifirò</w:t>
      </w:r>
      <w:r w:rsidRPr="00370EBC">
        <w:rPr>
          <w:rFonts w:ascii="Calibri" w:hAnsi="Calibri" w:cs="Calibri"/>
          <w:color w:val="000000"/>
          <w:sz w:val="22"/>
          <w:szCs w:val="22"/>
          <w:vertAlign w:val="superscript"/>
        </w:rPr>
        <w:t>3</w:t>
      </w:r>
      <w:r>
        <w:rPr>
          <w:rFonts w:ascii="Calibri" w:hAnsi="Calibri" w:cs="Calibri"/>
          <w:color w:val="000000"/>
          <w:sz w:val="22"/>
          <w:szCs w:val="22"/>
          <w:vertAlign w:val="superscript"/>
        </w:rPr>
        <w:t>#</w:t>
      </w:r>
      <w:r w:rsidRPr="0061633C">
        <w:rPr>
          <w:rFonts w:ascii="Calibri" w:hAnsi="Calibri" w:cs="Calibri"/>
          <w:color w:val="000000"/>
          <w:sz w:val="22"/>
          <w:szCs w:val="22"/>
        </w:rPr>
        <w:t>, Annamaria De Luca</w:t>
      </w:r>
      <w:r w:rsidRPr="00370EBC">
        <w:rPr>
          <w:rFonts w:ascii="Calibri" w:hAnsi="Calibri" w:cs="Calibri"/>
          <w:color w:val="000000"/>
          <w:sz w:val="22"/>
          <w:szCs w:val="22"/>
          <w:vertAlign w:val="superscript"/>
        </w:rPr>
        <w:t>2</w:t>
      </w:r>
      <w:r>
        <w:rPr>
          <w:rFonts w:ascii="Calibri" w:hAnsi="Calibri" w:cs="Calibri"/>
          <w:color w:val="000000"/>
          <w:sz w:val="22"/>
          <w:szCs w:val="22"/>
          <w:vertAlign w:val="superscript"/>
        </w:rPr>
        <w:t>#</w:t>
      </w:r>
    </w:p>
    <w:p w14:paraId="69CEAAFB" w14:textId="77777777" w:rsidR="00E0319A" w:rsidRDefault="00E0319A" w:rsidP="00E0319A">
      <w:pPr>
        <w:pStyle w:val="xmsolistparagraph"/>
        <w:numPr>
          <w:ilvl w:val="0"/>
          <w:numId w:val="6"/>
        </w:numPr>
        <w:shd w:val="clear" w:color="auto" w:fill="FFFFFF"/>
        <w:spacing w:after="0" w:line="276" w:lineRule="auto"/>
        <w:jc w:val="both"/>
        <w:rPr>
          <w:rFonts w:ascii="Calibri" w:hAnsi="Calibri" w:cs="Calibri"/>
          <w:color w:val="000000"/>
          <w:sz w:val="22"/>
          <w:szCs w:val="22"/>
          <w:lang w:val="en-US"/>
        </w:rPr>
      </w:pPr>
      <w:r w:rsidRPr="00370EBC">
        <w:rPr>
          <w:rFonts w:ascii="Calibri" w:hAnsi="Calibri" w:cs="Calibri"/>
          <w:color w:val="000000"/>
          <w:sz w:val="22"/>
          <w:szCs w:val="22"/>
          <w:lang w:val="en-US"/>
        </w:rPr>
        <w:t>Department of Medicine, University of Verona, Verona, Italy</w:t>
      </w:r>
    </w:p>
    <w:p w14:paraId="38825652" w14:textId="77777777" w:rsidR="00E0319A" w:rsidRPr="00370EBC" w:rsidRDefault="00E0319A" w:rsidP="00E0319A">
      <w:pPr>
        <w:pStyle w:val="xmsolistparagraph"/>
        <w:numPr>
          <w:ilvl w:val="0"/>
          <w:numId w:val="6"/>
        </w:numPr>
        <w:shd w:val="clear" w:color="auto" w:fill="FFFFFF"/>
        <w:spacing w:after="0" w:line="276" w:lineRule="auto"/>
        <w:jc w:val="both"/>
        <w:rPr>
          <w:rFonts w:ascii="Calibri" w:hAnsi="Calibri" w:cs="Calibri"/>
          <w:color w:val="000000"/>
          <w:sz w:val="22"/>
          <w:szCs w:val="22"/>
          <w:lang w:val="en-US"/>
        </w:rPr>
      </w:pPr>
      <w:r w:rsidRPr="00370EBC">
        <w:rPr>
          <w:rFonts w:ascii="Calibri" w:hAnsi="Calibri" w:cs="Calibri"/>
          <w:color w:val="000000"/>
          <w:sz w:val="22"/>
          <w:szCs w:val="22"/>
          <w:lang w:val="en-US"/>
        </w:rPr>
        <w:t>Department of Pharmacy-Drug Sciences, University of Bari "Aldo Moro", Bari, Italy</w:t>
      </w:r>
    </w:p>
    <w:p w14:paraId="7B365A48" w14:textId="77777777" w:rsidR="00E0319A" w:rsidRPr="00370EBC" w:rsidRDefault="00E0319A" w:rsidP="00E0319A">
      <w:pPr>
        <w:pStyle w:val="xmsolistparagraph"/>
        <w:numPr>
          <w:ilvl w:val="0"/>
          <w:numId w:val="6"/>
        </w:numPr>
        <w:shd w:val="clear" w:color="auto" w:fill="FFFFFF"/>
        <w:spacing w:line="276" w:lineRule="auto"/>
        <w:jc w:val="both"/>
        <w:rPr>
          <w:rFonts w:ascii="Calibri" w:hAnsi="Calibri" w:cs="Calibri"/>
          <w:color w:val="000000"/>
          <w:sz w:val="22"/>
          <w:szCs w:val="22"/>
          <w:lang w:val="en-US"/>
        </w:rPr>
      </w:pPr>
      <w:r w:rsidRPr="00370EBC">
        <w:rPr>
          <w:rFonts w:ascii="Calibri" w:hAnsi="Calibri" w:cs="Calibri"/>
          <w:color w:val="000000"/>
          <w:sz w:val="22"/>
          <w:szCs w:val="22"/>
          <w:lang w:val="en-US"/>
        </w:rPr>
        <w:t>Department of Diagnostics and Public Health, University of Verona, Verona, Italy</w:t>
      </w:r>
    </w:p>
    <w:p w14:paraId="6F327BD5" w14:textId="77777777" w:rsidR="00E0319A" w:rsidRDefault="00E0319A" w:rsidP="00E0319A">
      <w:pPr>
        <w:pStyle w:val="xmsolistparagraph"/>
        <w:shd w:val="clear" w:color="auto" w:fill="FFFFFF"/>
        <w:spacing w:after="0" w:line="276" w:lineRule="auto"/>
        <w:jc w:val="both"/>
        <w:rPr>
          <w:rFonts w:ascii="Calibri" w:hAnsi="Calibri" w:cs="Calibri"/>
          <w:color w:val="000000"/>
          <w:sz w:val="22"/>
          <w:szCs w:val="22"/>
          <w:lang w:val="en-US"/>
        </w:rPr>
      </w:pPr>
    </w:p>
    <w:p w14:paraId="7EC587FF" w14:textId="77777777" w:rsidR="00E0319A" w:rsidRPr="00370EBC" w:rsidRDefault="00E0319A" w:rsidP="00E0319A">
      <w:pPr>
        <w:spacing w:after="0"/>
        <w:rPr>
          <w:rFonts w:cstheme="minorHAnsi"/>
          <w:kern w:val="0"/>
          <w:lang w:val="en-US"/>
          <w14:ligatures w14:val="none"/>
        </w:rPr>
      </w:pPr>
      <w:r w:rsidRPr="00370EBC">
        <w:rPr>
          <w:rFonts w:cstheme="minorHAnsi"/>
          <w:kern w:val="0"/>
          <w:vertAlign w:val="superscript"/>
          <w:lang w:val="en-US"/>
          <w14:ligatures w14:val="none"/>
        </w:rPr>
        <w:t>*</w:t>
      </w:r>
      <w:proofErr w:type="gramStart"/>
      <w:r w:rsidRPr="00370EBC">
        <w:rPr>
          <w:rFonts w:cstheme="minorHAnsi"/>
          <w:kern w:val="0"/>
          <w:lang w:val="en-US"/>
          <w14:ligatures w14:val="none"/>
        </w:rPr>
        <w:t>equal</w:t>
      </w:r>
      <w:proofErr w:type="gramEnd"/>
      <w:r w:rsidRPr="00370EBC">
        <w:rPr>
          <w:rFonts w:cstheme="minorHAnsi"/>
          <w:kern w:val="0"/>
          <w:lang w:val="en-US"/>
          <w14:ligatures w14:val="none"/>
        </w:rPr>
        <w:t xml:space="preserve"> contribution as first authors</w:t>
      </w:r>
    </w:p>
    <w:p w14:paraId="7AFF37F2" w14:textId="77777777" w:rsidR="00E0319A" w:rsidRDefault="00E0319A" w:rsidP="00E0319A">
      <w:pPr>
        <w:spacing w:after="0"/>
        <w:rPr>
          <w:rFonts w:cstheme="minorHAnsi"/>
          <w:kern w:val="0"/>
          <w:lang w:val="en-US"/>
          <w14:ligatures w14:val="none"/>
        </w:rPr>
      </w:pPr>
      <w:r w:rsidRPr="00370EBC">
        <w:rPr>
          <w:rFonts w:cstheme="minorHAnsi"/>
          <w:kern w:val="0"/>
          <w:vertAlign w:val="superscript"/>
          <w:lang w:val="en-US"/>
          <w14:ligatures w14:val="none"/>
        </w:rPr>
        <w:t>#</w:t>
      </w:r>
      <w:r w:rsidRPr="00370EBC">
        <w:rPr>
          <w:rFonts w:cstheme="minorHAnsi"/>
          <w:kern w:val="0"/>
          <w:lang w:val="en-US"/>
          <w14:ligatures w14:val="none"/>
        </w:rPr>
        <w:t>equal contribution as senior authors</w:t>
      </w:r>
    </w:p>
    <w:p w14:paraId="2C1237ED" w14:textId="77777777" w:rsidR="00E0319A" w:rsidRDefault="00E0319A" w:rsidP="00E0319A">
      <w:pPr>
        <w:spacing w:after="0"/>
        <w:rPr>
          <w:rFonts w:cstheme="minorHAnsi"/>
          <w:kern w:val="0"/>
          <w:lang w:val="en-US"/>
          <w14:ligatures w14:val="none"/>
        </w:rPr>
      </w:pPr>
    </w:p>
    <w:p w14:paraId="51F8400F" w14:textId="77777777" w:rsidR="00E0319A" w:rsidRDefault="00E0319A" w:rsidP="00E0319A">
      <w:pPr>
        <w:spacing w:after="0"/>
        <w:rPr>
          <w:rFonts w:cstheme="minorHAnsi"/>
          <w:kern w:val="0"/>
          <w:lang w:val="en-US"/>
          <w14:ligatures w14:val="none"/>
        </w:rPr>
      </w:pPr>
    </w:p>
    <w:p w14:paraId="3BBE6BCC" w14:textId="77777777" w:rsidR="00E0319A" w:rsidRPr="00F3275E" w:rsidRDefault="00E0319A" w:rsidP="00E0319A">
      <w:pPr>
        <w:spacing w:after="0"/>
        <w:rPr>
          <w:rFonts w:cstheme="minorHAnsi"/>
          <w:kern w:val="0"/>
          <w:lang w:val="en-US"/>
          <w14:ligatures w14:val="none"/>
        </w:rPr>
      </w:pPr>
      <w:r w:rsidRPr="00E0319A">
        <w:rPr>
          <w:rFonts w:cstheme="minorHAnsi"/>
          <w:b/>
          <w:bCs/>
          <w:kern w:val="0"/>
          <w:lang w:val="en-US"/>
          <w14:ligatures w14:val="none"/>
        </w:rPr>
        <w:t xml:space="preserve">Running head: </w:t>
      </w:r>
      <w:bookmarkStart w:id="1" w:name="_Hlk150779296"/>
      <w:r w:rsidRPr="00E0319A">
        <w:rPr>
          <w:rFonts w:cstheme="minorHAnsi"/>
          <w:kern w:val="0"/>
          <w:lang w:val="en-US"/>
          <w14:ligatures w14:val="none"/>
        </w:rPr>
        <w:t>Overview of myasthenia gravis treatments</w:t>
      </w:r>
      <w:bookmarkEnd w:id="1"/>
    </w:p>
    <w:p w14:paraId="133A3D9D" w14:textId="77777777" w:rsidR="00E0319A" w:rsidRDefault="00E0319A" w:rsidP="00E0319A">
      <w:pPr>
        <w:spacing w:after="0"/>
        <w:rPr>
          <w:rFonts w:cstheme="minorHAnsi"/>
          <w:kern w:val="0"/>
          <w:lang w:val="en-US"/>
          <w14:ligatures w14:val="none"/>
        </w:rPr>
      </w:pPr>
    </w:p>
    <w:p w14:paraId="3C5A74F8" w14:textId="77777777" w:rsidR="00E0319A" w:rsidRPr="00370EBC" w:rsidRDefault="00E0319A" w:rsidP="00E0319A">
      <w:pPr>
        <w:rPr>
          <w:rFonts w:cstheme="minorHAnsi"/>
          <w:b/>
          <w:bCs/>
          <w:lang w:val="en-US"/>
        </w:rPr>
      </w:pPr>
      <w:r w:rsidRPr="00370EBC">
        <w:rPr>
          <w:rFonts w:cstheme="minorHAnsi"/>
          <w:b/>
          <w:bCs/>
          <w:lang w:val="en-US"/>
        </w:rPr>
        <w:t>Corresponding author</w:t>
      </w:r>
    </w:p>
    <w:p w14:paraId="75462C20" w14:textId="77777777" w:rsidR="00E0319A" w:rsidRPr="00370EBC" w:rsidRDefault="00E0319A" w:rsidP="00E0319A">
      <w:pPr>
        <w:spacing w:after="0"/>
        <w:rPr>
          <w:rFonts w:cstheme="minorHAnsi"/>
          <w:lang w:val="en-US"/>
        </w:rPr>
      </w:pPr>
      <w:r w:rsidRPr="00370EBC">
        <w:rPr>
          <w:rFonts w:cstheme="minorHAnsi"/>
          <w:lang w:val="en-US"/>
        </w:rPr>
        <w:t xml:space="preserve">Prof. Gianluca </w:t>
      </w:r>
      <w:proofErr w:type="spellStart"/>
      <w:r w:rsidRPr="00370EBC">
        <w:rPr>
          <w:rFonts w:cstheme="minorHAnsi"/>
          <w:lang w:val="en-US"/>
        </w:rPr>
        <w:t>Trifirò</w:t>
      </w:r>
      <w:proofErr w:type="spellEnd"/>
    </w:p>
    <w:p w14:paraId="2017C642" w14:textId="77777777" w:rsidR="00E0319A" w:rsidRPr="00370EBC" w:rsidRDefault="00E0319A" w:rsidP="00E0319A">
      <w:pPr>
        <w:spacing w:after="0"/>
        <w:rPr>
          <w:rFonts w:cstheme="minorHAnsi"/>
          <w:lang w:val="en-US"/>
        </w:rPr>
      </w:pPr>
      <w:r w:rsidRPr="00370EBC">
        <w:rPr>
          <w:rFonts w:cstheme="minorHAnsi"/>
          <w:lang w:val="en-US"/>
        </w:rPr>
        <w:t>gianluca.trifiro@univr.it</w:t>
      </w:r>
    </w:p>
    <w:p w14:paraId="4B1D848E" w14:textId="77777777" w:rsidR="00E0319A" w:rsidRPr="00370EBC" w:rsidRDefault="00E0319A" w:rsidP="00E0319A">
      <w:pPr>
        <w:spacing w:after="0"/>
        <w:rPr>
          <w:rFonts w:cstheme="minorHAnsi"/>
          <w:lang w:val="en-US"/>
        </w:rPr>
      </w:pPr>
      <w:r w:rsidRPr="00370EBC">
        <w:rPr>
          <w:rFonts w:cstheme="minorHAnsi"/>
          <w:lang w:val="en-US"/>
        </w:rPr>
        <w:t>Department of Diagnostics and Public Health, University of Verona, Italy</w:t>
      </w:r>
    </w:p>
    <w:p w14:paraId="4673065D" w14:textId="77777777" w:rsidR="00E0319A" w:rsidRPr="00370EBC" w:rsidRDefault="00E0319A" w:rsidP="00E0319A">
      <w:pPr>
        <w:spacing w:after="0"/>
        <w:rPr>
          <w:rFonts w:cstheme="minorHAnsi"/>
        </w:rPr>
      </w:pPr>
      <w:proofErr w:type="gramStart"/>
      <w:r w:rsidRPr="00370EBC">
        <w:rPr>
          <w:rFonts w:cstheme="minorHAnsi"/>
        </w:rPr>
        <w:t>P.le</w:t>
      </w:r>
      <w:proofErr w:type="gramEnd"/>
      <w:r w:rsidRPr="00370EBC">
        <w:rPr>
          <w:rFonts w:cstheme="minorHAnsi"/>
        </w:rPr>
        <w:t xml:space="preserve"> L.A. Scuro 10, 37124, Verona</w:t>
      </w:r>
    </w:p>
    <w:p w14:paraId="45C80244" w14:textId="77777777" w:rsidR="00E0319A" w:rsidRPr="00370EBC" w:rsidRDefault="00E0319A" w:rsidP="00E0319A">
      <w:pPr>
        <w:spacing w:after="0"/>
        <w:rPr>
          <w:rFonts w:cstheme="minorHAnsi"/>
          <w:kern w:val="0"/>
          <w14:ligatures w14:val="none"/>
        </w:rPr>
      </w:pPr>
    </w:p>
    <w:p w14:paraId="250BB46F" w14:textId="77777777" w:rsidR="00E0319A" w:rsidRPr="00370EBC" w:rsidRDefault="00E0319A" w:rsidP="00E0319A">
      <w:pPr>
        <w:pStyle w:val="xmsolistparagraph"/>
        <w:shd w:val="clear" w:color="auto" w:fill="FFFFFF"/>
        <w:spacing w:before="0" w:beforeAutospacing="0" w:after="0" w:afterAutospacing="0" w:line="276" w:lineRule="auto"/>
        <w:jc w:val="both"/>
        <w:rPr>
          <w:rFonts w:ascii="Calibri" w:hAnsi="Calibri" w:cs="Calibri"/>
          <w:color w:val="000000"/>
          <w:sz w:val="22"/>
          <w:szCs w:val="22"/>
        </w:rPr>
      </w:pPr>
    </w:p>
    <w:p w14:paraId="4D15D5F9" w14:textId="77777777" w:rsidR="00E0319A" w:rsidRPr="00370EBC" w:rsidRDefault="00E0319A" w:rsidP="00E0319A">
      <w:pPr>
        <w:pStyle w:val="xmsolistparagraph"/>
        <w:shd w:val="clear" w:color="auto" w:fill="FFFFFF"/>
        <w:spacing w:before="0" w:beforeAutospacing="0" w:after="0" w:afterAutospacing="0" w:line="276" w:lineRule="auto"/>
        <w:jc w:val="both"/>
        <w:rPr>
          <w:rFonts w:ascii="Calibri" w:hAnsi="Calibri" w:cs="Calibri"/>
          <w:color w:val="000000"/>
          <w:sz w:val="22"/>
          <w:szCs w:val="22"/>
        </w:rPr>
      </w:pPr>
    </w:p>
    <w:p w14:paraId="59BE8E84" w14:textId="77777777" w:rsidR="00E0319A" w:rsidRPr="00370EBC" w:rsidRDefault="00E0319A" w:rsidP="00E0319A">
      <w:pPr>
        <w:pStyle w:val="xmsolistparagraph"/>
        <w:shd w:val="clear" w:color="auto" w:fill="FFFFFF"/>
        <w:spacing w:before="0" w:beforeAutospacing="0" w:after="0" w:afterAutospacing="0" w:line="276" w:lineRule="auto"/>
        <w:jc w:val="both"/>
        <w:rPr>
          <w:rFonts w:ascii="Calibri" w:hAnsi="Calibri" w:cs="Calibri"/>
          <w:b/>
          <w:bCs/>
          <w:color w:val="000000"/>
          <w:sz w:val="22"/>
          <w:szCs w:val="22"/>
        </w:rPr>
        <w:sectPr w:rsidR="00E0319A" w:rsidRPr="00370EBC">
          <w:footerReference w:type="default" r:id="rId7"/>
          <w:pgSz w:w="11906" w:h="16838"/>
          <w:pgMar w:top="1417" w:right="1134" w:bottom="1134" w:left="1134" w:header="708" w:footer="708" w:gutter="0"/>
          <w:cols w:space="708"/>
          <w:docGrid w:linePitch="360"/>
        </w:sectPr>
      </w:pPr>
    </w:p>
    <w:p w14:paraId="7E6E4EB7" w14:textId="77777777" w:rsidR="00E0319A" w:rsidRDefault="00E0319A" w:rsidP="00E0319A">
      <w:pPr>
        <w:pStyle w:val="xmsolistparagraph"/>
        <w:shd w:val="clear" w:color="auto" w:fill="FFFFFF"/>
        <w:spacing w:before="0" w:beforeAutospacing="0" w:after="0" w:afterAutospacing="0" w:line="276" w:lineRule="auto"/>
        <w:jc w:val="both"/>
        <w:rPr>
          <w:rFonts w:ascii="Calibri" w:hAnsi="Calibri" w:cs="Calibri"/>
          <w:b/>
          <w:bCs/>
          <w:color w:val="000000"/>
          <w:sz w:val="22"/>
          <w:szCs w:val="22"/>
          <w:lang w:val="en-US"/>
        </w:rPr>
      </w:pPr>
      <w:r>
        <w:rPr>
          <w:rFonts w:ascii="Calibri" w:hAnsi="Calibri" w:cs="Calibri"/>
          <w:b/>
          <w:bCs/>
          <w:color w:val="000000"/>
          <w:sz w:val="22"/>
          <w:szCs w:val="22"/>
          <w:lang w:val="en-US"/>
        </w:rPr>
        <w:lastRenderedPageBreak/>
        <w:t>Key points:</w:t>
      </w:r>
    </w:p>
    <w:p w14:paraId="68CED0D8" w14:textId="77777777" w:rsidR="00E0319A" w:rsidRPr="00195CDE" w:rsidRDefault="00E0319A" w:rsidP="00E0319A">
      <w:pPr>
        <w:pStyle w:val="xmsolistparagraph"/>
        <w:numPr>
          <w:ilvl w:val="0"/>
          <w:numId w:val="12"/>
        </w:numPr>
        <w:shd w:val="clear" w:color="auto" w:fill="FFFFFF"/>
        <w:spacing w:before="0" w:beforeAutospacing="0" w:after="240" w:afterAutospacing="0" w:line="276" w:lineRule="auto"/>
        <w:jc w:val="both"/>
        <w:rPr>
          <w:rFonts w:ascii="Calibri" w:hAnsi="Calibri" w:cs="Calibri"/>
          <w:color w:val="000000"/>
          <w:sz w:val="22"/>
          <w:szCs w:val="22"/>
          <w:lang w:val="en-US"/>
        </w:rPr>
      </w:pPr>
      <w:r w:rsidRPr="00E0319A">
        <w:rPr>
          <w:rFonts w:ascii="Calibri" w:hAnsi="Calibri" w:cs="Calibri"/>
          <w:color w:val="000000"/>
          <w:sz w:val="22"/>
          <w:szCs w:val="22"/>
          <w:lang w:val="en-US"/>
        </w:rPr>
        <w:t xml:space="preserve">The chronic administration of conventional </w:t>
      </w:r>
      <w:r>
        <w:rPr>
          <w:rFonts w:ascii="Calibri" w:hAnsi="Calibri" w:cs="Calibri"/>
          <w:color w:val="000000"/>
          <w:sz w:val="22"/>
          <w:szCs w:val="22"/>
          <w:lang w:val="en-US"/>
        </w:rPr>
        <w:t>drugs for the treatment of myasthenia gravis</w:t>
      </w:r>
      <w:r w:rsidRPr="00E0319A">
        <w:rPr>
          <w:rFonts w:ascii="Calibri" w:hAnsi="Calibri" w:cs="Calibri"/>
          <w:color w:val="000000"/>
          <w:sz w:val="22"/>
          <w:szCs w:val="22"/>
          <w:lang w:val="en-US"/>
        </w:rPr>
        <w:t xml:space="preserve"> is associated with significant side effects and often lacks effectiveness, highlighting the need for the development of innovative </w:t>
      </w:r>
      <w:r>
        <w:rPr>
          <w:rFonts w:ascii="Calibri" w:hAnsi="Calibri" w:cs="Calibri"/>
          <w:color w:val="000000"/>
          <w:sz w:val="22"/>
          <w:szCs w:val="22"/>
          <w:lang w:val="en-US"/>
        </w:rPr>
        <w:t>therapies</w:t>
      </w:r>
      <w:r w:rsidRPr="00E0319A">
        <w:rPr>
          <w:rFonts w:ascii="Calibri" w:hAnsi="Calibri" w:cs="Calibri"/>
          <w:color w:val="000000"/>
          <w:sz w:val="22"/>
          <w:szCs w:val="22"/>
          <w:lang w:val="en-US"/>
        </w:rPr>
        <w:t xml:space="preserve">. In this context, preclinical research has </w:t>
      </w:r>
      <w:r>
        <w:rPr>
          <w:rFonts w:ascii="Calibri" w:hAnsi="Calibri" w:cs="Calibri"/>
          <w:color w:val="000000"/>
          <w:sz w:val="22"/>
          <w:szCs w:val="22"/>
          <w:lang w:val="en-US"/>
        </w:rPr>
        <w:t>been</w:t>
      </w:r>
      <w:r w:rsidRPr="00E0319A">
        <w:rPr>
          <w:rFonts w:ascii="Calibri" w:hAnsi="Calibri" w:cs="Calibri"/>
          <w:color w:val="000000"/>
          <w:sz w:val="22"/>
          <w:szCs w:val="22"/>
          <w:lang w:val="en-US"/>
        </w:rPr>
        <w:t xml:space="preserve"> crucial in identifying potential therapeutic targets and conducting animal-based experimentation. </w:t>
      </w:r>
    </w:p>
    <w:p w14:paraId="612ECCCD" w14:textId="77777777" w:rsidR="00E0319A" w:rsidRPr="00E0319A" w:rsidRDefault="00E0319A" w:rsidP="00E0319A">
      <w:pPr>
        <w:pStyle w:val="xmsolistparagraph"/>
        <w:numPr>
          <w:ilvl w:val="0"/>
          <w:numId w:val="12"/>
        </w:numPr>
        <w:shd w:val="clear" w:color="auto" w:fill="FFFFFF"/>
        <w:spacing w:before="0" w:beforeAutospacing="0" w:after="0" w:afterAutospacing="0" w:line="276" w:lineRule="auto"/>
        <w:jc w:val="both"/>
        <w:rPr>
          <w:rFonts w:ascii="Calibri" w:hAnsi="Calibri" w:cs="Calibri"/>
          <w:color w:val="000000"/>
          <w:sz w:val="22"/>
          <w:szCs w:val="22"/>
          <w:lang w:val="en-US"/>
        </w:rPr>
      </w:pPr>
      <w:r w:rsidRPr="00E0319A">
        <w:rPr>
          <w:rFonts w:ascii="Calibri" w:hAnsi="Calibri" w:cs="Calibri"/>
          <w:color w:val="000000"/>
          <w:sz w:val="22"/>
          <w:szCs w:val="22"/>
          <w:lang w:val="en-US"/>
        </w:rPr>
        <w:t xml:space="preserve">Therapeutic opportunities available to patients affected by myasthenia gravis are expanding. In recent years eculizumab, </w:t>
      </w:r>
      <w:proofErr w:type="spellStart"/>
      <w:r w:rsidRPr="00E0319A">
        <w:rPr>
          <w:rFonts w:ascii="Calibri" w:hAnsi="Calibri" w:cs="Calibri"/>
          <w:color w:val="000000"/>
          <w:sz w:val="22"/>
          <w:szCs w:val="22"/>
          <w:lang w:val="en-US"/>
        </w:rPr>
        <w:t>ravulizumab</w:t>
      </w:r>
      <w:proofErr w:type="spellEnd"/>
      <w:r w:rsidRPr="00E0319A">
        <w:rPr>
          <w:rFonts w:ascii="Calibri" w:hAnsi="Calibri" w:cs="Calibri"/>
          <w:color w:val="000000"/>
          <w:sz w:val="22"/>
          <w:szCs w:val="22"/>
          <w:lang w:val="en-US"/>
        </w:rPr>
        <w:t xml:space="preserve">, efgartigimod, </w:t>
      </w:r>
      <w:proofErr w:type="spellStart"/>
      <w:r w:rsidRPr="00E0319A">
        <w:rPr>
          <w:rFonts w:ascii="Calibri" w:hAnsi="Calibri" w:cs="Calibri"/>
          <w:color w:val="000000"/>
          <w:sz w:val="22"/>
          <w:szCs w:val="22"/>
          <w:lang w:val="en-US"/>
        </w:rPr>
        <w:t>rozanolixizumab</w:t>
      </w:r>
      <w:proofErr w:type="spellEnd"/>
      <w:r w:rsidRPr="00E0319A">
        <w:rPr>
          <w:rFonts w:ascii="Calibri" w:hAnsi="Calibri" w:cs="Calibri"/>
          <w:color w:val="000000"/>
          <w:sz w:val="22"/>
          <w:szCs w:val="22"/>
          <w:lang w:val="en-US"/>
        </w:rPr>
        <w:t xml:space="preserve">, and </w:t>
      </w:r>
      <w:proofErr w:type="spellStart"/>
      <w:r w:rsidRPr="00E0319A">
        <w:rPr>
          <w:rFonts w:ascii="Calibri" w:hAnsi="Calibri" w:cs="Calibri"/>
          <w:color w:val="000000"/>
          <w:sz w:val="22"/>
          <w:szCs w:val="22"/>
          <w:lang w:val="en-US"/>
        </w:rPr>
        <w:t>zilucoplan</w:t>
      </w:r>
      <w:proofErr w:type="spellEnd"/>
      <w:r w:rsidRPr="00E0319A">
        <w:rPr>
          <w:rFonts w:ascii="Calibri" w:hAnsi="Calibri" w:cs="Calibri"/>
          <w:color w:val="000000"/>
          <w:sz w:val="22"/>
          <w:szCs w:val="22"/>
          <w:lang w:val="en-US"/>
        </w:rPr>
        <w:t xml:space="preserve"> were approved by regulatory agencies and many pharmacological and non-pharmacological treatments are</w:t>
      </w:r>
      <w:r>
        <w:rPr>
          <w:rFonts w:ascii="Calibri" w:hAnsi="Calibri" w:cs="Calibri"/>
          <w:color w:val="000000"/>
          <w:sz w:val="22"/>
          <w:szCs w:val="22"/>
          <w:lang w:val="en-US"/>
        </w:rPr>
        <w:t xml:space="preserve"> currently</w:t>
      </w:r>
      <w:r w:rsidRPr="00E0319A">
        <w:rPr>
          <w:rFonts w:ascii="Calibri" w:hAnsi="Calibri" w:cs="Calibri"/>
          <w:color w:val="000000"/>
          <w:sz w:val="22"/>
          <w:szCs w:val="22"/>
          <w:lang w:val="en-US"/>
        </w:rPr>
        <w:t xml:space="preserve"> under investigation.</w:t>
      </w:r>
    </w:p>
    <w:p w14:paraId="5B73C89C" w14:textId="77777777" w:rsidR="00E0319A" w:rsidRDefault="00E0319A" w:rsidP="00E0319A">
      <w:pPr>
        <w:pStyle w:val="xmsolistparagraph"/>
        <w:shd w:val="clear" w:color="auto" w:fill="FFFFFF"/>
        <w:spacing w:before="0" w:beforeAutospacing="0" w:after="0" w:afterAutospacing="0" w:line="276" w:lineRule="auto"/>
        <w:jc w:val="both"/>
        <w:rPr>
          <w:rFonts w:ascii="Calibri" w:hAnsi="Calibri" w:cs="Calibri"/>
          <w:b/>
          <w:bCs/>
          <w:color w:val="000000"/>
          <w:sz w:val="22"/>
          <w:szCs w:val="22"/>
          <w:lang w:val="en-US"/>
        </w:rPr>
      </w:pPr>
    </w:p>
    <w:p w14:paraId="03E3F758" w14:textId="77777777" w:rsidR="00E0319A" w:rsidRPr="00051233" w:rsidRDefault="00E0319A" w:rsidP="00E0319A">
      <w:pPr>
        <w:pStyle w:val="xmsolistparagraph"/>
        <w:shd w:val="clear" w:color="auto" w:fill="FFFFFF"/>
        <w:spacing w:before="0" w:beforeAutospacing="0" w:after="0" w:afterAutospacing="0" w:line="276" w:lineRule="auto"/>
        <w:jc w:val="both"/>
        <w:rPr>
          <w:rFonts w:ascii="Calibri" w:hAnsi="Calibri" w:cs="Calibri"/>
          <w:b/>
          <w:bCs/>
          <w:color w:val="000000"/>
          <w:sz w:val="22"/>
          <w:szCs w:val="22"/>
          <w:lang w:val="en-US"/>
        </w:rPr>
      </w:pPr>
      <w:r w:rsidRPr="00051233">
        <w:rPr>
          <w:rFonts w:ascii="Calibri" w:hAnsi="Calibri" w:cs="Calibri"/>
          <w:b/>
          <w:bCs/>
          <w:color w:val="000000"/>
          <w:sz w:val="22"/>
          <w:szCs w:val="22"/>
          <w:lang w:val="en-US"/>
        </w:rPr>
        <w:t>Abstract</w:t>
      </w:r>
    </w:p>
    <w:p w14:paraId="5B94A94F" w14:textId="5FE38FB0" w:rsidR="00E0319A" w:rsidRPr="00DC045F" w:rsidRDefault="00E0319A" w:rsidP="00E0319A">
      <w:pPr>
        <w:spacing w:after="0" w:line="276" w:lineRule="auto"/>
        <w:jc w:val="both"/>
        <w:rPr>
          <w:lang w:val="en-US"/>
        </w:rPr>
      </w:pPr>
      <w:r w:rsidRPr="00674A66">
        <w:rPr>
          <w:color w:val="000000"/>
          <w:lang w:val="en-US"/>
        </w:rPr>
        <w:t xml:space="preserve">Myasthenia gravis (MG) is </w:t>
      </w:r>
      <w:r>
        <w:rPr>
          <w:color w:val="000000"/>
          <w:lang w:val="en-US"/>
        </w:rPr>
        <w:t>a rare</w:t>
      </w:r>
      <w:r w:rsidRPr="00674A66">
        <w:rPr>
          <w:color w:val="000000"/>
          <w:lang w:val="en-US"/>
        </w:rPr>
        <w:t xml:space="preserve"> autoimmune disease </w:t>
      </w:r>
      <w:r>
        <w:rPr>
          <w:color w:val="000000"/>
          <w:lang w:val="en-US"/>
        </w:rPr>
        <w:t xml:space="preserve">that causes debilitating muscle weakness due to </w:t>
      </w:r>
      <w:r w:rsidRPr="00674A66">
        <w:rPr>
          <w:color w:val="000000"/>
          <w:lang w:val="en-US"/>
        </w:rPr>
        <w:t>impaired neuromuscular transmission.</w:t>
      </w:r>
      <w:r>
        <w:rPr>
          <w:color w:val="000000"/>
          <w:lang w:val="en-US"/>
        </w:rPr>
        <w:t xml:space="preserve"> Since most (about </w:t>
      </w:r>
      <w:r w:rsidRPr="00DC045F">
        <w:rPr>
          <w:color w:val="000000"/>
          <w:lang w:val="en-US"/>
        </w:rPr>
        <w:t>80-90%</w:t>
      </w:r>
      <w:r>
        <w:rPr>
          <w:color w:val="000000"/>
          <w:lang w:val="en-US"/>
        </w:rPr>
        <w:t>)</w:t>
      </w:r>
      <w:r w:rsidRPr="00DC045F">
        <w:rPr>
          <w:color w:val="000000"/>
          <w:lang w:val="en-US"/>
        </w:rPr>
        <w:t xml:space="preserve"> of MG patients present autoantibodies against the acetylcholine receptor</w:t>
      </w:r>
      <w:r>
        <w:rPr>
          <w:color w:val="000000"/>
          <w:lang w:val="en-US"/>
        </w:rPr>
        <w:t>, standard</w:t>
      </w:r>
      <w:r>
        <w:rPr>
          <w:lang w:val="en-US"/>
        </w:rPr>
        <w:t xml:space="preserve"> medical </w:t>
      </w:r>
      <w:r w:rsidRPr="00453793">
        <w:rPr>
          <w:color w:val="000000"/>
          <w:lang w:val="en-US"/>
        </w:rPr>
        <w:t>t</w:t>
      </w:r>
      <w:r>
        <w:rPr>
          <w:color w:val="000000"/>
          <w:lang w:val="en-US"/>
        </w:rPr>
        <w:t>herapy</w:t>
      </w:r>
      <w:r w:rsidRPr="00453793">
        <w:rPr>
          <w:color w:val="000000"/>
          <w:lang w:val="en-US"/>
        </w:rPr>
        <w:t xml:space="preserve"> consists of symptomatic treatment with</w:t>
      </w:r>
      <w:r>
        <w:rPr>
          <w:color w:val="000000"/>
          <w:lang w:val="en-US"/>
        </w:rPr>
        <w:t xml:space="preserve"> </w:t>
      </w:r>
      <w:r>
        <w:rPr>
          <w:lang w:val="en-US"/>
        </w:rPr>
        <w:t xml:space="preserve">acetylcholinesterase inhibitors (e.g., </w:t>
      </w:r>
      <w:r w:rsidRPr="00453793">
        <w:rPr>
          <w:color w:val="000000"/>
          <w:lang w:val="en-US"/>
        </w:rPr>
        <w:t>pyridostigmine</w:t>
      </w:r>
      <w:r>
        <w:rPr>
          <w:color w:val="000000"/>
          <w:lang w:val="en-US"/>
        </w:rPr>
        <w:t xml:space="preserve">). In addition, considering </w:t>
      </w:r>
      <w:r w:rsidRPr="001B320E">
        <w:rPr>
          <w:lang w:val="en-US"/>
        </w:rPr>
        <w:t>the autoimmune basis of MG</w:t>
      </w:r>
      <w:r>
        <w:rPr>
          <w:lang w:val="en-US"/>
        </w:rPr>
        <w:t>, standard therapy also includes</w:t>
      </w:r>
      <w:r w:rsidRPr="00453793">
        <w:rPr>
          <w:color w:val="000000"/>
          <w:lang w:val="en-US"/>
        </w:rPr>
        <w:t xml:space="preserve"> immunomodulating</w:t>
      </w:r>
      <w:r>
        <w:rPr>
          <w:color w:val="000000"/>
          <w:lang w:val="en-US"/>
        </w:rPr>
        <w:t xml:space="preserve"> agents, such as </w:t>
      </w:r>
      <w:r>
        <w:rPr>
          <w:lang w:val="en-US"/>
        </w:rPr>
        <w:t>c</w:t>
      </w:r>
      <w:r w:rsidRPr="001B320E">
        <w:rPr>
          <w:lang w:val="en-US"/>
        </w:rPr>
        <w:t>orticosteroids, azathioprine, cyclosporine A, and cyclophosphamide</w:t>
      </w:r>
      <w:r>
        <w:rPr>
          <w:color w:val="000000"/>
          <w:lang w:val="en-US"/>
        </w:rPr>
        <w:t>. N</w:t>
      </w:r>
      <w:r w:rsidRPr="00957F42">
        <w:rPr>
          <w:color w:val="000000"/>
          <w:lang w:val="en-US"/>
        </w:rPr>
        <w:t>ew treatment strategies have been proposed for</w:t>
      </w:r>
      <w:r>
        <w:rPr>
          <w:color w:val="000000"/>
          <w:lang w:val="en-US"/>
        </w:rPr>
        <w:t xml:space="preserve"> </w:t>
      </w:r>
      <w:r w:rsidRPr="00957F42">
        <w:rPr>
          <w:color w:val="000000"/>
          <w:lang w:val="en-US"/>
        </w:rPr>
        <w:t xml:space="preserve">the therapy of MG and include complement blockade </w:t>
      </w:r>
      <w:r>
        <w:rPr>
          <w:color w:val="000000"/>
          <w:lang w:val="en-US"/>
        </w:rPr>
        <w:t xml:space="preserve">(i.e., eculizumab, </w:t>
      </w:r>
      <w:proofErr w:type="spellStart"/>
      <w:r>
        <w:rPr>
          <w:color w:val="000000"/>
          <w:lang w:val="en-US"/>
        </w:rPr>
        <w:t>ravulizumab</w:t>
      </w:r>
      <w:proofErr w:type="spellEnd"/>
      <w:r>
        <w:rPr>
          <w:color w:val="000000"/>
          <w:lang w:val="en-US"/>
        </w:rPr>
        <w:t xml:space="preserve">, and </w:t>
      </w:r>
      <w:proofErr w:type="spellStart"/>
      <w:r>
        <w:rPr>
          <w:color w:val="000000"/>
          <w:lang w:val="en-US"/>
        </w:rPr>
        <w:t>zilucoplan</w:t>
      </w:r>
      <w:proofErr w:type="spellEnd"/>
      <w:r>
        <w:rPr>
          <w:color w:val="000000"/>
          <w:lang w:val="en-US"/>
        </w:rPr>
        <w:t xml:space="preserve">) </w:t>
      </w:r>
      <w:r w:rsidRPr="00957F42">
        <w:rPr>
          <w:color w:val="000000"/>
          <w:lang w:val="en-US"/>
        </w:rPr>
        <w:t>and neonatal</w:t>
      </w:r>
      <w:r>
        <w:rPr>
          <w:color w:val="000000"/>
          <w:lang w:val="en-US"/>
        </w:rPr>
        <w:t xml:space="preserve"> </w:t>
      </w:r>
      <w:r w:rsidRPr="00957F42">
        <w:rPr>
          <w:color w:val="000000"/>
          <w:lang w:val="en-US"/>
        </w:rPr>
        <w:t>Fc receptor antagonism</w:t>
      </w:r>
      <w:r>
        <w:rPr>
          <w:color w:val="000000"/>
          <w:lang w:val="en-US"/>
        </w:rPr>
        <w:t xml:space="preserve"> (i.e., efgartigimod and </w:t>
      </w:r>
      <w:proofErr w:type="spellStart"/>
      <w:r>
        <w:rPr>
          <w:color w:val="000000"/>
          <w:lang w:val="en-US"/>
        </w:rPr>
        <w:t>rozanolixizumab</w:t>
      </w:r>
      <w:proofErr w:type="spellEnd"/>
      <w:r>
        <w:rPr>
          <w:color w:val="000000"/>
          <w:lang w:val="en-US"/>
        </w:rPr>
        <w:t xml:space="preserve">). </w:t>
      </w:r>
      <w:r w:rsidRPr="006960DF">
        <w:rPr>
          <w:color w:val="000000"/>
          <w:lang w:val="en-US"/>
        </w:rPr>
        <w:t xml:space="preserve">The aim of this review </w:t>
      </w:r>
      <w:r>
        <w:rPr>
          <w:color w:val="000000"/>
          <w:lang w:val="en-US"/>
        </w:rPr>
        <w:t>was</w:t>
      </w:r>
      <w:r w:rsidRPr="006960DF">
        <w:rPr>
          <w:color w:val="000000"/>
          <w:lang w:val="en-US"/>
        </w:rPr>
        <w:t xml:space="preserve"> to provide a</w:t>
      </w:r>
      <w:r>
        <w:rPr>
          <w:color w:val="000000"/>
          <w:lang w:val="en-US"/>
        </w:rPr>
        <w:t xml:space="preserve"> detailed</w:t>
      </w:r>
      <w:r w:rsidRPr="006960DF">
        <w:rPr>
          <w:color w:val="000000"/>
          <w:lang w:val="en-US"/>
        </w:rPr>
        <w:t xml:space="preserve"> overview of the pre- and post-marketing evidence on the</w:t>
      </w:r>
      <w:r>
        <w:rPr>
          <w:color w:val="000000"/>
          <w:lang w:val="en-US"/>
        </w:rPr>
        <w:t xml:space="preserve"> three</w:t>
      </w:r>
      <w:r w:rsidRPr="006960DF">
        <w:rPr>
          <w:color w:val="000000"/>
          <w:lang w:val="en-US"/>
        </w:rPr>
        <w:t xml:space="preserve"> pharmacological treatments</w:t>
      </w:r>
      <w:r>
        <w:rPr>
          <w:color w:val="000000"/>
          <w:lang w:val="en-US"/>
        </w:rPr>
        <w:t xml:space="preserve"> most recently</w:t>
      </w:r>
      <w:r w:rsidRPr="006960DF">
        <w:rPr>
          <w:color w:val="000000"/>
          <w:lang w:val="en-US"/>
        </w:rPr>
        <w:t xml:space="preserve"> approved for the treatment of MG, by identifying both pre-clinical and clinical studies registered in clinicaltrials.gov.</w:t>
      </w:r>
      <w:r>
        <w:rPr>
          <w:color w:val="000000"/>
          <w:lang w:val="en-US"/>
        </w:rPr>
        <w:t xml:space="preserve"> A description of the </w:t>
      </w:r>
      <w:r w:rsidRPr="00B15C54">
        <w:rPr>
          <w:lang w:val="en-US"/>
        </w:rPr>
        <w:t>molecules</w:t>
      </w:r>
      <w:r>
        <w:rPr>
          <w:lang w:val="en-US"/>
        </w:rPr>
        <w:t xml:space="preserve"> which</w:t>
      </w:r>
      <w:r w:rsidRPr="00B15C54">
        <w:rPr>
          <w:lang w:val="en-US"/>
        </w:rPr>
        <w:t xml:space="preserve"> are currently under evaluation for the treatment of MG</w:t>
      </w:r>
      <w:r>
        <w:rPr>
          <w:lang w:val="en-US"/>
        </w:rPr>
        <w:t xml:space="preserve"> was also provided.</w:t>
      </w:r>
    </w:p>
    <w:p w14:paraId="71301A55" w14:textId="77777777" w:rsidR="00E0319A" w:rsidRPr="00051233" w:rsidRDefault="00E0319A" w:rsidP="00E0319A">
      <w:pPr>
        <w:rPr>
          <w:color w:val="000000"/>
          <w:lang w:val="en-US"/>
        </w:rPr>
      </w:pPr>
      <w:r w:rsidRPr="00051233">
        <w:rPr>
          <w:color w:val="000000"/>
          <w:lang w:val="en-US"/>
        </w:rPr>
        <w:br w:type="page"/>
      </w:r>
    </w:p>
    <w:p w14:paraId="5D6F1887" w14:textId="77777777" w:rsidR="00E0319A" w:rsidRPr="00FE0874" w:rsidRDefault="00E0319A" w:rsidP="00E0319A">
      <w:pPr>
        <w:pStyle w:val="Paragrafoelenco"/>
        <w:numPr>
          <w:ilvl w:val="0"/>
          <w:numId w:val="13"/>
        </w:numPr>
        <w:spacing w:after="0" w:line="276" w:lineRule="auto"/>
        <w:jc w:val="both"/>
        <w:rPr>
          <w:b/>
          <w:bCs/>
          <w:color w:val="000000"/>
          <w:lang w:val="en-US"/>
        </w:rPr>
      </w:pPr>
      <w:r w:rsidRPr="00FE0874">
        <w:rPr>
          <w:b/>
          <w:bCs/>
          <w:color w:val="000000"/>
          <w:lang w:val="en-US"/>
        </w:rPr>
        <w:lastRenderedPageBreak/>
        <w:t>Introduction</w:t>
      </w:r>
    </w:p>
    <w:p w14:paraId="0A0CD162" w14:textId="20E1EC58" w:rsidR="00E0319A" w:rsidRPr="00674A66" w:rsidRDefault="00E0319A" w:rsidP="00E0319A">
      <w:pPr>
        <w:spacing w:after="0" w:line="276" w:lineRule="auto"/>
        <w:jc w:val="both"/>
        <w:rPr>
          <w:color w:val="000000"/>
          <w:lang w:val="en-US"/>
        </w:rPr>
      </w:pPr>
      <w:r w:rsidRPr="00674A66">
        <w:rPr>
          <w:color w:val="000000"/>
          <w:lang w:val="en-US"/>
        </w:rPr>
        <w:t xml:space="preserve">Myasthenia gravis (MG) is </w:t>
      </w:r>
      <w:r>
        <w:rPr>
          <w:color w:val="000000"/>
          <w:lang w:val="en-US"/>
        </w:rPr>
        <w:t>a rare</w:t>
      </w:r>
      <w:r w:rsidRPr="00674A66">
        <w:rPr>
          <w:color w:val="000000"/>
          <w:lang w:val="en-US"/>
        </w:rPr>
        <w:t xml:space="preserve"> autoimmune neuromuscular disease characterized by impaired neuromuscular transmission</w:t>
      </w:r>
      <w:r>
        <w:rPr>
          <w:color w:val="000000"/>
          <w:lang w:val="en-US"/>
        </w:rPr>
        <w:t xml:space="preserve"> and</w:t>
      </w:r>
      <w:r w:rsidRPr="00674A66">
        <w:rPr>
          <w:color w:val="000000"/>
          <w:lang w:val="en-US"/>
        </w:rPr>
        <w:t xml:space="preserve"> it is the most common neuromuscular transmission disorder. </w:t>
      </w:r>
      <w:r>
        <w:rPr>
          <w:color w:val="000000"/>
          <w:lang w:val="en-US"/>
        </w:rPr>
        <w:t>Its</w:t>
      </w:r>
      <w:r w:rsidRPr="00674A66">
        <w:rPr>
          <w:color w:val="000000"/>
          <w:lang w:val="en-US"/>
        </w:rPr>
        <w:t xml:space="preserve"> annual incidence is estimated to range from 7 to 23 cases per million, while the prevalence varies from 70 to 320 cases per million. </w:t>
      </w:r>
      <w:r w:rsidR="00A37EAC">
        <w:rPr>
          <w:color w:val="000000"/>
          <w:lang w:val="en-US"/>
        </w:rPr>
        <w:t>[1]</w:t>
      </w:r>
    </w:p>
    <w:p w14:paraId="28C94404" w14:textId="017C1B19" w:rsidR="00E0319A" w:rsidRPr="009230FE" w:rsidRDefault="00E0319A" w:rsidP="00E0319A">
      <w:pPr>
        <w:spacing w:after="0" w:line="276" w:lineRule="auto"/>
        <w:jc w:val="both"/>
        <w:rPr>
          <w:color w:val="000000"/>
          <w:lang w:val="en-US"/>
        </w:rPr>
      </w:pPr>
      <w:r>
        <w:rPr>
          <w:color w:val="000000"/>
          <w:lang w:val="en-US"/>
        </w:rPr>
        <w:t>Regarding the etiopathogenesis</w:t>
      </w:r>
      <w:r w:rsidRPr="009230FE">
        <w:rPr>
          <w:color w:val="000000"/>
          <w:lang w:val="en-US"/>
        </w:rPr>
        <w:t xml:space="preserve">, 80-90% of MG patients </w:t>
      </w:r>
      <w:r>
        <w:rPr>
          <w:color w:val="000000"/>
          <w:lang w:val="en-US"/>
        </w:rPr>
        <w:t>present</w:t>
      </w:r>
      <w:r w:rsidRPr="009230FE">
        <w:rPr>
          <w:color w:val="000000"/>
          <w:lang w:val="en-US"/>
        </w:rPr>
        <w:t xml:space="preserve"> autoantibodies against the acetylcholine receptor (</w:t>
      </w:r>
      <w:proofErr w:type="spellStart"/>
      <w:r w:rsidRPr="009230FE">
        <w:rPr>
          <w:color w:val="000000"/>
          <w:lang w:val="en-US"/>
        </w:rPr>
        <w:t>ACh</w:t>
      </w:r>
      <w:r>
        <w:rPr>
          <w:color w:val="000000"/>
          <w:lang w:val="en-US"/>
        </w:rPr>
        <w:t>R</w:t>
      </w:r>
      <w:proofErr w:type="spellEnd"/>
      <w:r>
        <w:rPr>
          <w:color w:val="000000"/>
          <w:lang w:val="en-US"/>
        </w:rPr>
        <w:t xml:space="preserve"> antibodies</w:t>
      </w:r>
      <w:r w:rsidRPr="009230FE">
        <w:rPr>
          <w:color w:val="000000"/>
          <w:lang w:val="en-US"/>
        </w:rPr>
        <w:t>)</w:t>
      </w:r>
      <w:r>
        <w:rPr>
          <w:color w:val="000000"/>
          <w:lang w:val="en-US"/>
        </w:rPr>
        <w:t>, mainly belonging to the immunoglobulin (Ig) G1 and G3 families</w:t>
      </w:r>
      <w:r w:rsidR="00A37EAC">
        <w:rPr>
          <w:color w:val="000000"/>
          <w:lang w:val="en-US"/>
        </w:rPr>
        <w:t xml:space="preserve"> [2-4]</w:t>
      </w:r>
      <w:r>
        <w:rPr>
          <w:lang w:val="en-US"/>
        </w:rPr>
        <w:t>, which</w:t>
      </w:r>
      <w:r w:rsidRPr="009230FE">
        <w:rPr>
          <w:color w:val="000000"/>
          <w:lang w:val="en-US"/>
        </w:rPr>
        <w:t xml:space="preserve"> lead to dysfunction </w:t>
      </w:r>
      <w:r>
        <w:rPr>
          <w:color w:val="000000"/>
          <w:lang w:val="en-US"/>
        </w:rPr>
        <w:t>of</w:t>
      </w:r>
      <w:r w:rsidRPr="009230FE">
        <w:rPr>
          <w:color w:val="000000"/>
          <w:lang w:val="en-US"/>
        </w:rPr>
        <w:t xml:space="preserve"> the neuromuscular junction by blocking the binding of acetylcholine (Ach) to its receptor</w:t>
      </w:r>
      <w:r>
        <w:rPr>
          <w:color w:val="000000"/>
          <w:lang w:val="en-US"/>
        </w:rPr>
        <w:t xml:space="preserve"> (</w:t>
      </w:r>
      <w:proofErr w:type="spellStart"/>
      <w:r>
        <w:rPr>
          <w:color w:val="000000"/>
          <w:lang w:val="en-US"/>
        </w:rPr>
        <w:t>AchR</w:t>
      </w:r>
      <w:proofErr w:type="spellEnd"/>
      <w:r>
        <w:rPr>
          <w:color w:val="000000"/>
          <w:lang w:val="en-US"/>
        </w:rPr>
        <w:t>)</w:t>
      </w:r>
      <w:r w:rsidRPr="009230FE">
        <w:rPr>
          <w:color w:val="000000"/>
          <w:lang w:val="en-US"/>
        </w:rPr>
        <w:t xml:space="preserve"> and activating complement-mediated destruction of </w:t>
      </w:r>
      <w:proofErr w:type="spellStart"/>
      <w:r w:rsidRPr="009230FE">
        <w:rPr>
          <w:color w:val="000000"/>
          <w:lang w:val="en-US"/>
        </w:rPr>
        <w:t>AchRs</w:t>
      </w:r>
      <w:proofErr w:type="spellEnd"/>
      <w:r w:rsidRPr="009230FE">
        <w:rPr>
          <w:color w:val="000000"/>
          <w:lang w:val="en-US"/>
        </w:rPr>
        <w:t xml:space="preserve">. </w:t>
      </w:r>
      <w:r>
        <w:rPr>
          <w:color w:val="000000"/>
          <w:lang w:val="en-US"/>
        </w:rPr>
        <w:t xml:space="preserve">Although </w:t>
      </w:r>
      <w:r w:rsidRPr="009230FE">
        <w:rPr>
          <w:color w:val="000000"/>
          <w:lang w:val="en-US"/>
        </w:rPr>
        <w:t xml:space="preserve">the severity of the disease is not closely correlated with the plasma concentration of </w:t>
      </w:r>
      <w:proofErr w:type="spellStart"/>
      <w:r w:rsidRPr="009230FE">
        <w:rPr>
          <w:color w:val="000000"/>
          <w:lang w:val="en-US"/>
        </w:rPr>
        <w:t>AchR</w:t>
      </w:r>
      <w:proofErr w:type="spellEnd"/>
      <w:r w:rsidRPr="009230FE">
        <w:rPr>
          <w:color w:val="000000"/>
          <w:lang w:val="en-US"/>
        </w:rPr>
        <w:t xml:space="preserve"> antibodies</w:t>
      </w:r>
      <w:r>
        <w:rPr>
          <w:color w:val="000000"/>
          <w:lang w:val="en-US"/>
        </w:rPr>
        <w:t xml:space="preserve">, </w:t>
      </w:r>
      <w:r w:rsidRPr="009230FE">
        <w:rPr>
          <w:color w:val="000000"/>
          <w:lang w:val="en-US"/>
        </w:rPr>
        <w:t>variations in antibody levels can be used to monitor the effectiveness of pharmacological treatment in individual patients.</w:t>
      </w:r>
      <w:r w:rsidR="00A37EAC" w:rsidRPr="00A37EAC">
        <w:rPr>
          <w:color w:val="000000"/>
          <w:lang w:val="en-US"/>
        </w:rPr>
        <w:t xml:space="preserve"> </w:t>
      </w:r>
      <w:r w:rsidR="00A37EAC">
        <w:rPr>
          <w:color w:val="000000"/>
          <w:lang w:val="en-US"/>
        </w:rPr>
        <w:t>[5]</w:t>
      </w:r>
    </w:p>
    <w:p w14:paraId="19E24F33" w14:textId="624B02BD" w:rsidR="004C0325" w:rsidRPr="004C0325" w:rsidRDefault="00E0319A" w:rsidP="00E0319A">
      <w:pPr>
        <w:spacing w:after="0" w:line="276" w:lineRule="auto"/>
        <w:jc w:val="both"/>
        <w:rPr>
          <w:lang w:val="en-US"/>
        </w:rPr>
      </w:pPr>
      <w:r>
        <w:rPr>
          <w:color w:val="000000"/>
          <w:lang w:val="en-US"/>
        </w:rPr>
        <w:t xml:space="preserve">About </w:t>
      </w:r>
      <w:r w:rsidRPr="009230FE">
        <w:rPr>
          <w:color w:val="000000"/>
          <w:lang w:val="en-US"/>
        </w:rPr>
        <w:t xml:space="preserve">40-70% of MG patients who are seronegative for </w:t>
      </w:r>
      <w:proofErr w:type="spellStart"/>
      <w:r w:rsidRPr="009230FE">
        <w:rPr>
          <w:color w:val="000000"/>
          <w:lang w:val="en-US"/>
        </w:rPr>
        <w:t>AchR</w:t>
      </w:r>
      <w:proofErr w:type="spellEnd"/>
      <w:r w:rsidRPr="009230FE">
        <w:rPr>
          <w:color w:val="000000"/>
          <w:lang w:val="en-US"/>
        </w:rPr>
        <w:t xml:space="preserve"> antibodies have antibodies directed against</w:t>
      </w:r>
      <w:r>
        <w:rPr>
          <w:color w:val="000000"/>
          <w:lang w:val="en-US"/>
        </w:rPr>
        <w:t xml:space="preserve"> the</w:t>
      </w:r>
      <w:r w:rsidRPr="00D92320">
        <w:rPr>
          <w:color w:val="000000"/>
          <w:lang w:val="en-US"/>
        </w:rPr>
        <w:t xml:space="preserve"> </w:t>
      </w:r>
      <w:r w:rsidRPr="009230FE">
        <w:rPr>
          <w:color w:val="000000"/>
          <w:lang w:val="en-US"/>
        </w:rPr>
        <w:t>muscle-specific tyrosine kinase (</w:t>
      </w:r>
      <w:proofErr w:type="spellStart"/>
      <w:r w:rsidRPr="009230FE">
        <w:rPr>
          <w:color w:val="000000"/>
          <w:lang w:val="en-US"/>
        </w:rPr>
        <w:t>MuSK</w:t>
      </w:r>
      <w:proofErr w:type="spellEnd"/>
      <w:r w:rsidRPr="009230FE">
        <w:rPr>
          <w:color w:val="000000"/>
          <w:lang w:val="en-US"/>
        </w:rPr>
        <w:t>)</w:t>
      </w:r>
      <w:r>
        <w:rPr>
          <w:color w:val="000000"/>
          <w:lang w:val="en-US"/>
        </w:rPr>
        <w:t xml:space="preserve">, a transmembrane component of </w:t>
      </w:r>
      <w:r w:rsidRPr="009230FE">
        <w:rPr>
          <w:color w:val="000000"/>
          <w:lang w:val="en-US"/>
        </w:rPr>
        <w:t xml:space="preserve">the postsynaptic neuromuscular junction that mediates </w:t>
      </w:r>
      <w:proofErr w:type="spellStart"/>
      <w:r w:rsidRPr="009230FE">
        <w:rPr>
          <w:color w:val="000000"/>
          <w:lang w:val="en-US"/>
        </w:rPr>
        <w:t>AchR</w:t>
      </w:r>
      <w:proofErr w:type="spellEnd"/>
      <w:r w:rsidRPr="009230FE">
        <w:rPr>
          <w:color w:val="000000"/>
          <w:lang w:val="en-US"/>
        </w:rPr>
        <w:t xml:space="preserve"> clustering and anchoring of acetylcholinesterase during neuromuscular junction formation.</w:t>
      </w:r>
      <w:r w:rsidR="00A37EAC" w:rsidRPr="00A37EAC">
        <w:rPr>
          <w:color w:val="000000"/>
          <w:lang w:val="en-US"/>
        </w:rPr>
        <w:t xml:space="preserve"> </w:t>
      </w:r>
      <w:r w:rsidR="00A37EAC">
        <w:rPr>
          <w:color w:val="000000"/>
          <w:lang w:val="en-US"/>
        </w:rPr>
        <w:t>[6]</w:t>
      </w:r>
      <w:r>
        <w:rPr>
          <w:color w:val="000000"/>
          <w:lang w:val="en-US"/>
        </w:rPr>
        <w:t xml:space="preserve"> </w:t>
      </w:r>
      <w:proofErr w:type="spellStart"/>
      <w:r w:rsidRPr="009230FE">
        <w:rPr>
          <w:color w:val="000000"/>
          <w:lang w:val="en-US"/>
        </w:rPr>
        <w:t>MuSK</w:t>
      </w:r>
      <w:proofErr w:type="spellEnd"/>
      <w:r w:rsidRPr="009230FE">
        <w:rPr>
          <w:color w:val="000000"/>
          <w:lang w:val="en-US"/>
        </w:rPr>
        <w:t xml:space="preserve"> antibodies mainly belong to the IgG4 class and, to a lesser extent, the IgG1 class.</w:t>
      </w:r>
      <w:r>
        <w:rPr>
          <w:color w:val="000000"/>
          <w:lang w:val="en-US"/>
        </w:rPr>
        <w:t xml:space="preserve"> </w:t>
      </w:r>
      <w:r w:rsidRPr="009230FE">
        <w:rPr>
          <w:color w:val="000000"/>
          <w:lang w:val="en-US"/>
        </w:rPr>
        <w:t xml:space="preserve">However, the role of </w:t>
      </w:r>
      <w:proofErr w:type="spellStart"/>
      <w:r w:rsidRPr="009230FE">
        <w:rPr>
          <w:color w:val="000000"/>
          <w:lang w:val="en-US"/>
        </w:rPr>
        <w:t>MuSK</w:t>
      </w:r>
      <w:proofErr w:type="spellEnd"/>
      <w:r w:rsidRPr="009230FE">
        <w:rPr>
          <w:color w:val="000000"/>
          <w:lang w:val="en-US"/>
        </w:rPr>
        <w:t xml:space="preserve"> antibodies in MG pathogenesis is not yet fully understood.</w:t>
      </w:r>
      <w:r w:rsidR="00A37EAC" w:rsidRPr="00A37EAC">
        <w:rPr>
          <w:color w:val="000000"/>
          <w:lang w:val="en-US"/>
        </w:rPr>
        <w:t xml:space="preserve"> </w:t>
      </w:r>
      <w:r w:rsidR="00A37EAC">
        <w:rPr>
          <w:color w:val="000000"/>
          <w:lang w:val="en-US"/>
        </w:rPr>
        <w:t>[7]</w:t>
      </w:r>
    </w:p>
    <w:p w14:paraId="44A6982E" w14:textId="172D9FFA" w:rsidR="00E0319A" w:rsidRPr="00662E9E" w:rsidRDefault="00E0319A" w:rsidP="00E0319A">
      <w:pPr>
        <w:spacing w:after="0" w:line="276" w:lineRule="auto"/>
        <w:jc w:val="both"/>
        <w:rPr>
          <w:color w:val="000000"/>
          <w:lang w:val="en-US"/>
        </w:rPr>
      </w:pPr>
      <w:r w:rsidRPr="00662E9E">
        <w:rPr>
          <w:color w:val="000000"/>
          <w:lang w:val="en-US"/>
        </w:rPr>
        <w:t xml:space="preserve">MG is considered </w:t>
      </w:r>
      <w:r>
        <w:rPr>
          <w:color w:val="000000"/>
          <w:lang w:val="en-US"/>
        </w:rPr>
        <w:t>“</w:t>
      </w:r>
      <w:r w:rsidRPr="00662E9E">
        <w:rPr>
          <w:color w:val="000000"/>
          <w:lang w:val="en-US"/>
        </w:rPr>
        <w:t>seronegative</w:t>
      </w:r>
      <w:r>
        <w:rPr>
          <w:color w:val="000000"/>
          <w:lang w:val="en-US"/>
        </w:rPr>
        <w:t>”</w:t>
      </w:r>
      <w:r w:rsidRPr="00662E9E">
        <w:rPr>
          <w:color w:val="000000"/>
          <w:lang w:val="en-US"/>
        </w:rPr>
        <w:t xml:space="preserve"> when </w:t>
      </w:r>
      <w:proofErr w:type="spellStart"/>
      <w:r w:rsidRPr="00662E9E">
        <w:rPr>
          <w:color w:val="000000"/>
          <w:lang w:val="en-US"/>
        </w:rPr>
        <w:t>AchR</w:t>
      </w:r>
      <w:proofErr w:type="spellEnd"/>
      <w:r w:rsidRPr="00662E9E">
        <w:rPr>
          <w:color w:val="000000"/>
          <w:lang w:val="en-US"/>
        </w:rPr>
        <w:t xml:space="preserve"> </w:t>
      </w:r>
      <w:r>
        <w:rPr>
          <w:color w:val="000000"/>
          <w:lang w:val="en-US"/>
        </w:rPr>
        <w:t>and</w:t>
      </w:r>
      <w:r w:rsidRPr="00662E9E">
        <w:rPr>
          <w:color w:val="000000"/>
          <w:lang w:val="en-US"/>
        </w:rPr>
        <w:t xml:space="preserve"> </w:t>
      </w:r>
      <w:proofErr w:type="spellStart"/>
      <w:r w:rsidRPr="00662E9E">
        <w:rPr>
          <w:color w:val="000000"/>
          <w:lang w:val="en-US"/>
        </w:rPr>
        <w:t>MuSK</w:t>
      </w:r>
      <w:proofErr w:type="spellEnd"/>
      <w:r w:rsidRPr="00662E9E">
        <w:rPr>
          <w:color w:val="000000"/>
          <w:lang w:val="en-US"/>
        </w:rPr>
        <w:t xml:space="preserve"> antibodies are not detected</w:t>
      </w:r>
      <w:r>
        <w:rPr>
          <w:color w:val="000000"/>
          <w:lang w:val="en-US"/>
        </w:rPr>
        <w:t xml:space="preserve"> by standard laboratory tests</w:t>
      </w:r>
      <w:r w:rsidRPr="00662E9E">
        <w:rPr>
          <w:color w:val="000000"/>
          <w:lang w:val="en-US"/>
        </w:rPr>
        <w:t>. In half of these patients, using more sensitive tests</w:t>
      </w:r>
      <w:r>
        <w:rPr>
          <w:color w:val="000000"/>
          <w:lang w:val="en-US"/>
        </w:rPr>
        <w:t>,</w:t>
      </w:r>
      <w:r w:rsidRPr="00662E9E">
        <w:rPr>
          <w:color w:val="000000"/>
          <w:lang w:val="en-US"/>
        </w:rPr>
        <w:t xml:space="preserve"> such as immunofluorescence, clustered </w:t>
      </w:r>
      <w:proofErr w:type="spellStart"/>
      <w:r w:rsidRPr="00662E9E">
        <w:rPr>
          <w:color w:val="000000"/>
          <w:lang w:val="en-US"/>
        </w:rPr>
        <w:t>AchR</w:t>
      </w:r>
      <w:proofErr w:type="spellEnd"/>
      <w:r w:rsidRPr="00662E9E">
        <w:rPr>
          <w:color w:val="000000"/>
          <w:lang w:val="en-US"/>
        </w:rPr>
        <w:t xml:space="preserve"> antibodies can be </w:t>
      </w:r>
      <w:r>
        <w:rPr>
          <w:color w:val="000000"/>
          <w:lang w:val="en-US"/>
        </w:rPr>
        <w:t>identified</w:t>
      </w:r>
      <w:r w:rsidRPr="00662E9E">
        <w:rPr>
          <w:color w:val="000000"/>
          <w:lang w:val="en-US"/>
        </w:rPr>
        <w:t>.</w:t>
      </w:r>
      <w:r w:rsidR="00A37EAC" w:rsidRPr="00A37EAC">
        <w:rPr>
          <w:color w:val="000000"/>
          <w:lang w:val="en-US"/>
        </w:rPr>
        <w:t xml:space="preserve"> </w:t>
      </w:r>
      <w:r w:rsidR="00A37EAC">
        <w:rPr>
          <w:color w:val="000000"/>
          <w:lang w:val="en-US"/>
        </w:rPr>
        <w:t>[8]</w:t>
      </w:r>
    </w:p>
    <w:p w14:paraId="4628FB58" w14:textId="710B9CCF" w:rsidR="00E0319A" w:rsidRDefault="00E0319A" w:rsidP="00E0319A">
      <w:pPr>
        <w:spacing w:after="0" w:line="276" w:lineRule="auto"/>
        <w:jc w:val="both"/>
        <w:rPr>
          <w:color w:val="000000"/>
          <w:lang w:val="en-US"/>
        </w:rPr>
      </w:pPr>
      <w:r w:rsidRPr="00662E9E">
        <w:rPr>
          <w:color w:val="000000"/>
          <w:lang w:val="en-US"/>
        </w:rPr>
        <w:t>Furthermore, autoantibodies directed against other antigens</w:t>
      </w:r>
      <w:r>
        <w:rPr>
          <w:color w:val="000000"/>
          <w:lang w:val="en-US"/>
        </w:rPr>
        <w:t xml:space="preserve"> and with an unclear pathogenicity</w:t>
      </w:r>
      <w:r w:rsidRPr="00662E9E">
        <w:rPr>
          <w:color w:val="000000"/>
          <w:lang w:val="en-US"/>
        </w:rPr>
        <w:t xml:space="preserve"> can also be detected</w:t>
      </w:r>
      <w:r>
        <w:rPr>
          <w:color w:val="000000"/>
          <w:lang w:val="en-US"/>
        </w:rPr>
        <w:t xml:space="preserve"> in all cases</w:t>
      </w:r>
      <w:r w:rsidR="004C0325">
        <w:rPr>
          <w:color w:val="000000"/>
          <w:lang w:val="en-US"/>
        </w:rPr>
        <w:t>.</w:t>
      </w:r>
      <w:r w:rsidR="00A37EAC">
        <w:rPr>
          <w:color w:val="000000"/>
          <w:lang w:val="en-US"/>
        </w:rPr>
        <w:t xml:space="preserve"> [9]</w:t>
      </w:r>
    </w:p>
    <w:p w14:paraId="2D3F489E" w14:textId="33E2B3FC" w:rsidR="00E0319A" w:rsidRPr="00662E9E" w:rsidRDefault="00E0319A" w:rsidP="00E0319A">
      <w:pPr>
        <w:spacing w:after="0" w:line="276" w:lineRule="auto"/>
        <w:jc w:val="both"/>
        <w:rPr>
          <w:color w:val="000000"/>
          <w:lang w:val="en-US"/>
        </w:rPr>
      </w:pPr>
      <w:r w:rsidRPr="00662E9E">
        <w:rPr>
          <w:color w:val="000000"/>
          <w:lang w:val="en-US"/>
        </w:rPr>
        <w:t xml:space="preserve">Cell-mediated immunity is also involved in MG pathogenesis: T lymphocytes </w:t>
      </w:r>
      <w:r>
        <w:rPr>
          <w:color w:val="000000"/>
          <w:lang w:val="en-US"/>
        </w:rPr>
        <w:t>might</w:t>
      </w:r>
      <w:r w:rsidRPr="00662E9E">
        <w:rPr>
          <w:color w:val="000000"/>
          <w:lang w:val="en-US"/>
        </w:rPr>
        <w:t xml:space="preserve"> stimulate antibody production by B cells</w:t>
      </w:r>
      <w:r>
        <w:rPr>
          <w:color w:val="000000"/>
          <w:lang w:val="en-US"/>
        </w:rPr>
        <w:t xml:space="preserve"> through </w:t>
      </w:r>
      <w:r w:rsidRPr="00662E9E">
        <w:rPr>
          <w:color w:val="000000"/>
          <w:lang w:val="en-US"/>
        </w:rPr>
        <w:t xml:space="preserve">binding to </w:t>
      </w:r>
      <w:proofErr w:type="spellStart"/>
      <w:r w:rsidRPr="00662E9E">
        <w:rPr>
          <w:color w:val="000000"/>
          <w:lang w:val="en-US"/>
        </w:rPr>
        <w:t>AchRs</w:t>
      </w:r>
      <w:proofErr w:type="spellEnd"/>
      <w:r w:rsidRPr="00662E9E">
        <w:rPr>
          <w:color w:val="000000"/>
          <w:lang w:val="en-US"/>
        </w:rPr>
        <w:t xml:space="preserve">. This is confirmed by the association between thymic abnormalities, </w:t>
      </w:r>
      <w:r>
        <w:rPr>
          <w:color w:val="000000"/>
          <w:lang w:val="en-US"/>
        </w:rPr>
        <w:t>such as</w:t>
      </w:r>
      <w:r w:rsidRPr="00662E9E">
        <w:rPr>
          <w:color w:val="000000"/>
          <w:lang w:val="en-US"/>
        </w:rPr>
        <w:t xml:space="preserve"> thymic hyperplasia (</w:t>
      </w:r>
      <w:r>
        <w:rPr>
          <w:color w:val="000000"/>
          <w:lang w:val="en-US"/>
        </w:rPr>
        <w:t xml:space="preserve">developing in </w:t>
      </w:r>
      <w:r w:rsidRPr="00662E9E">
        <w:rPr>
          <w:color w:val="000000"/>
          <w:lang w:val="en-US"/>
        </w:rPr>
        <w:t>60-70% of</w:t>
      </w:r>
      <w:r>
        <w:rPr>
          <w:color w:val="000000"/>
          <w:lang w:val="en-US"/>
        </w:rPr>
        <w:t xml:space="preserve"> MG</w:t>
      </w:r>
      <w:r w:rsidRPr="00662E9E">
        <w:rPr>
          <w:color w:val="000000"/>
          <w:lang w:val="en-US"/>
        </w:rPr>
        <w:t xml:space="preserve"> cases)</w:t>
      </w:r>
      <w:r>
        <w:rPr>
          <w:color w:val="000000"/>
          <w:lang w:val="en-US"/>
        </w:rPr>
        <w:t xml:space="preserve"> and</w:t>
      </w:r>
      <w:r w:rsidRPr="00662E9E">
        <w:rPr>
          <w:color w:val="000000"/>
          <w:lang w:val="en-US"/>
        </w:rPr>
        <w:t xml:space="preserve"> thymoma (</w:t>
      </w:r>
      <w:r>
        <w:rPr>
          <w:color w:val="000000"/>
          <w:lang w:val="en-US"/>
        </w:rPr>
        <w:t xml:space="preserve">developing in </w:t>
      </w:r>
      <w:r w:rsidRPr="00662E9E">
        <w:rPr>
          <w:color w:val="000000"/>
          <w:lang w:val="en-US"/>
        </w:rPr>
        <w:t>10-12% of</w:t>
      </w:r>
      <w:r>
        <w:rPr>
          <w:color w:val="000000"/>
          <w:lang w:val="en-US"/>
        </w:rPr>
        <w:t xml:space="preserve"> MG</w:t>
      </w:r>
      <w:r w:rsidRPr="00662E9E">
        <w:rPr>
          <w:color w:val="000000"/>
          <w:lang w:val="en-US"/>
        </w:rPr>
        <w:t xml:space="preserve"> cases), and </w:t>
      </w:r>
      <w:r>
        <w:rPr>
          <w:color w:val="000000"/>
          <w:lang w:val="en-US"/>
        </w:rPr>
        <w:t>anti-</w:t>
      </w:r>
      <w:proofErr w:type="spellStart"/>
      <w:r w:rsidRPr="00662E9E">
        <w:rPr>
          <w:color w:val="000000"/>
          <w:lang w:val="en-US"/>
        </w:rPr>
        <w:t>AchR</w:t>
      </w:r>
      <w:proofErr w:type="spellEnd"/>
      <w:r w:rsidRPr="00662E9E">
        <w:rPr>
          <w:color w:val="000000"/>
          <w:lang w:val="en-US"/>
        </w:rPr>
        <w:t xml:space="preserve">-positive MG, which often </w:t>
      </w:r>
      <w:r>
        <w:rPr>
          <w:color w:val="000000"/>
          <w:lang w:val="en-US"/>
        </w:rPr>
        <w:t>improve</w:t>
      </w:r>
      <w:r w:rsidRPr="00662E9E">
        <w:rPr>
          <w:color w:val="000000"/>
          <w:lang w:val="en-US"/>
        </w:rPr>
        <w:t xml:space="preserve"> after thymectomy.</w:t>
      </w:r>
      <w:r w:rsidR="00A37EAC">
        <w:rPr>
          <w:color w:val="000000"/>
          <w:lang w:val="en-US"/>
        </w:rPr>
        <w:t xml:space="preserve"> [10-</w:t>
      </w:r>
      <w:r w:rsidR="00A135DD">
        <w:rPr>
          <w:color w:val="000000"/>
          <w:lang w:val="en-US"/>
        </w:rPr>
        <w:t>12]</w:t>
      </w:r>
    </w:p>
    <w:p w14:paraId="5AE34154" w14:textId="67B34C63" w:rsidR="00E0319A" w:rsidRDefault="00E0319A" w:rsidP="00E0319A">
      <w:pPr>
        <w:spacing w:after="0" w:line="276" w:lineRule="auto"/>
        <w:jc w:val="both"/>
        <w:rPr>
          <w:color w:val="000000"/>
          <w:lang w:val="en-US"/>
        </w:rPr>
      </w:pPr>
      <w:r w:rsidRPr="00CE287E">
        <w:rPr>
          <w:color w:val="000000"/>
          <w:lang w:val="en-US"/>
        </w:rPr>
        <w:t>In addition to antibody status, MG can be classified based on clinical manifestations as ocular and generalized</w:t>
      </w:r>
      <w:r>
        <w:rPr>
          <w:color w:val="000000"/>
          <w:lang w:val="en-US"/>
        </w:rPr>
        <w:t xml:space="preserve"> MG</w:t>
      </w:r>
      <w:r w:rsidRPr="00CE287E">
        <w:rPr>
          <w:color w:val="000000"/>
          <w:lang w:val="en-US"/>
        </w:rPr>
        <w:t xml:space="preserve"> (</w:t>
      </w:r>
      <w:proofErr w:type="spellStart"/>
      <w:r>
        <w:rPr>
          <w:color w:val="000000"/>
          <w:lang w:val="en-US"/>
        </w:rPr>
        <w:t>g</w:t>
      </w:r>
      <w:r w:rsidRPr="00CE287E">
        <w:rPr>
          <w:color w:val="000000"/>
          <w:lang w:val="en-US"/>
        </w:rPr>
        <w:t>MG</w:t>
      </w:r>
      <w:proofErr w:type="spellEnd"/>
      <w:r w:rsidRPr="00CE287E">
        <w:rPr>
          <w:color w:val="000000"/>
          <w:lang w:val="en-US"/>
        </w:rPr>
        <w:t xml:space="preserve">). </w:t>
      </w:r>
      <w:r>
        <w:rPr>
          <w:color w:val="000000"/>
          <w:lang w:val="en-US"/>
        </w:rPr>
        <w:t xml:space="preserve">Around </w:t>
      </w:r>
      <w:r w:rsidRPr="00CE287E">
        <w:rPr>
          <w:color w:val="000000"/>
          <w:lang w:val="en-US"/>
        </w:rPr>
        <w:t>50% of</w:t>
      </w:r>
      <w:r>
        <w:rPr>
          <w:color w:val="000000"/>
          <w:lang w:val="en-US"/>
        </w:rPr>
        <w:t xml:space="preserve"> ocular MG</w:t>
      </w:r>
      <w:r w:rsidRPr="00CE287E">
        <w:rPr>
          <w:color w:val="000000"/>
          <w:lang w:val="en-US"/>
        </w:rPr>
        <w:t xml:space="preserve"> patients progress to</w:t>
      </w:r>
      <w:r>
        <w:rPr>
          <w:color w:val="000000"/>
          <w:lang w:val="en-US"/>
        </w:rPr>
        <w:t xml:space="preserve"> </w:t>
      </w:r>
      <w:proofErr w:type="spellStart"/>
      <w:r>
        <w:rPr>
          <w:color w:val="000000"/>
          <w:lang w:val="en-US"/>
        </w:rPr>
        <w:t>gMG</w:t>
      </w:r>
      <w:proofErr w:type="spellEnd"/>
      <w:r w:rsidRPr="00CE287E">
        <w:rPr>
          <w:color w:val="000000"/>
          <w:lang w:val="en-US"/>
        </w:rPr>
        <w:t>, while others have a milder course limited to ocular symptoms.</w:t>
      </w:r>
      <w:r w:rsidR="00A135DD">
        <w:rPr>
          <w:color w:val="000000"/>
          <w:lang w:val="en-US"/>
        </w:rPr>
        <w:t xml:space="preserve"> [13,14]</w:t>
      </w:r>
      <w:r w:rsidRPr="00CE287E">
        <w:rPr>
          <w:color w:val="000000"/>
          <w:lang w:val="en-US"/>
        </w:rPr>
        <w:t xml:space="preserve"> Evaluation of disease symptoms and signs is useful for differential diagnosis, supported by laboratory tests</w:t>
      </w:r>
      <w:r>
        <w:rPr>
          <w:color w:val="000000"/>
          <w:lang w:val="en-US"/>
        </w:rPr>
        <w:t>,</w:t>
      </w:r>
      <w:r w:rsidRPr="00CE287E">
        <w:rPr>
          <w:color w:val="000000"/>
          <w:lang w:val="en-US"/>
        </w:rPr>
        <w:t xml:space="preserve"> and </w:t>
      </w:r>
      <w:r>
        <w:rPr>
          <w:color w:val="000000"/>
          <w:lang w:val="en-US"/>
        </w:rPr>
        <w:t>possibly</w:t>
      </w:r>
      <w:r w:rsidRPr="00CE287E">
        <w:rPr>
          <w:color w:val="000000"/>
          <w:lang w:val="en-US"/>
        </w:rPr>
        <w:t xml:space="preserve"> electromyography</w:t>
      </w:r>
      <w:r>
        <w:rPr>
          <w:color w:val="000000"/>
          <w:lang w:val="en-US"/>
        </w:rPr>
        <w:t>,</w:t>
      </w:r>
      <w:r w:rsidRPr="00CE287E">
        <w:rPr>
          <w:color w:val="000000"/>
          <w:lang w:val="en-US"/>
        </w:rPr>
        <w:t xml:space="preserve"> to study muscle electrical activity and confirm neuromuscular impairment.</w:t>
      </w:r>
      <w:r>
        <w:rPr>
          <w:color w:val="000000"/>
          <w:lang w:val="en-US"/>
        </w:rPr>
        <w:t xml:space="preserve"> </w:t>
      </w:r>
      <w:r w:rsidR="00A135DD">
        <w:rPr>
          <w:color w:val="000000"/>
          <w:lang w:val="en-US"/>
        </w:rPr>
        <w:t>[15]</w:t>
      </w:r>
    </w:p>
    <w:p w14:paraId="5B4E2A6D" w14:textId="1742D09C" w:rsidR="00E0319A" w:rsidRPr="00D84244" w:rsidRDefault="00E0319A" w:rsidP="00E0319A">
      <w:pPr>
        <w:spacing w:after="0" w:line="276" w:lineRule="auto"/>
        <w:jc w:val="both"/>
        <w:rPr>
          <w:lang w:val="en-US"/>
        </w:rPr>
      </w:pPr>
      <w:r w:rsidRPr="00F7117B">
        <w:rPr>
          <w:color w:val="000000"/>
          <w:lang w:val="en-US"/>
        </w:rPr>
        <w:t xml:space="preserve">In general, the main symptoms of MG </w:t>
      </w:r>
      <w:r>
        <w:rPr>
          <w:color w:val="000000"/>
          <w:lang w:val="en-US"/>
        </w:rPr>
        <w:t>are related to</w:t>
      </w:r>
      <w:r w:rsidRPr="00F7117B">
        <w:rPr>
          <w:color w:val="000000"/>
          <w:lang w:val="en-US"/>
        </w:rPr>
        <w:t xml:space="preserve"> muscle weakness</w:t>
      </w:r>
      <w:r>
        <w:rPr>
          <w:color w:val="000000"/>
          <w:lang w:val="en-US"/>
        </w:rPr>
        <w:t xml:space="preserve">. which varies from mild and fluctuating to </w:t>
      </w:r>
      <w:r w:rsidRPr="00F7117B">
        <w:rPr>
          <w:color w:val="000000"/>
          <w:lang w:val="en-US"/>
        </w:rPr>
        <w:t xml:space="preserve">severe </w:t>
      </w:r>
      <w:proofErr w:type="spellStart"/>
      <w:r w:rsidRPr="00F7117B">
        <w:rPr>
          <w:color w:val="000000"/>
          <w:lang w:val="en-US"/>
        </w:rPr>
        <w:t>tetraparesis</w:t>
      </w:r>
      <w:proofErr w:type="spellEnd"/>
      <w:r w:rsidRPr="00F7117B">
        <w:rPr>
          <w:color w:val="000000"/>
          <w:lang w:val="en-US"/>
        </w:rPr>
        <w:t xml:space="preserve"> with respiratory failure. Muscle weakness most frequently affects ocular and bulbar muscles compared to other muscle groups. Ocular symptoms, often asymmetric, are most common in MG and may include ptosis due to weakness of the </w:t>
      </w:r>
      <w:proofErr w:type="spellStart"/>
      <w:r w:rsidRPr="00F7117B">
        <w:rPr>
          <w:color w:val="000000"/>
          <w:lang w:val="en-US"/>
        </w:rPr>
        <w:t>levator</w:t>
      </w:r>
      <w:proofErr w:type="spellEnd"/>
      <w:r w:rsidRPr="00F7117B">
        <w:rPr>
          <w:color w:val="000000"/>
          <w:lang w:val="en-US"/>
        </w:rPr>
        <w:t xml:space="preserve"> palpebrae superioris and diplopia.</w:t>
      </w:r>
      <w:r>
        <w:rPr>
          <w:color w:val="000000"/>
          <w:lang w:val="en-US"/>
        </w:rPr>
        <w:t xml:space="preserve"> </w:t>
      </w:r>
      <w:r w:rsidRPr="00F7117B">
        <w:rPr>
          <w:color w:val="000000"/>
          <w:lang w:val="en-US"/>
        </w:rPr>
        <w:t xml:space="preserve">Regarding bulbar involvement, weakness </w:t>
      </w:r>
      <w:r>
        <w:rPr>
          <w:color w:val="000000"/>
          <w:lang w:val="en-US"/>
        </w:rPr>
        <w:t>commonly</w:t>
      </w:r>
      <w:r w:rsidRPr="00F7117B">
        <w:rPr>
          <w:color w:val="000000"/>
          <w:lang w:val="en-US"/>
        </w:rPr>
        <w:t xml:space="preserve"> affects oropharyngeal muscles</w:t>
      </w:r>
      <w:r>
        <w:rPr>
          <w:color w:val="000000"/>
          <w:lang w:val="en-US"/>
        </w:rPr>
        <w:t xml:space="preserve">, </w:t>
      </w:r>
      <w:r w:rsidRPr="00F7117B">
        <w:rPr>
          <w:color w:val="000000"/>
          <w:lang w:val="en-US"/>
        </w:rPr>
        <w:t xml:space="preserve">causing </w:t>
      </w:r>
      <w:r>
        <w:rPr>
          <w:color w:val="000000"/>
          <w:lang w:val="en-US"/>
        </w:rPr>
        <w:t xml:space="preserve">difficulty when </w:t>
      </w:r>
      <w:r w:rsidRPr="00F7117B">
        <w:rPr>
          <w:color w:val="000000"/>
          <w:lang w:val="en-US"/>
        </w:rPr>
        <w:t>chewing, dysphagia, dysarthria, or hypophonia</w:t>
      </w:r>
      <w:r>
        <w:rPr>
          <w:color w:val="000000"/>
          <w:lang w:val="en-US"/>
        </w:rPr>
        <w:t xml:space="preserve">, </w:t>
      </w:r>
      <w:r w:rsidRPr="00F7117B">
        <w:rPr>
          <w:color w:val="000000"/>
          <w:lang w:val="en-US"/>
        </w:rPr>
        <w:t>or facial expression muscles (</w:t>
      </w:r>
      <w:r>
        <w:rPr>
          <w:color w:val="000000"/>
          <w:lang w:val="en-US"/>
        </w:rPr>
        <w:t xml:space="preserve">i.e., the </w:t>
      </w:r>
      <w:r w:rsidRPr="00F7117B">
        <w:rPr>
          <w:color w:val="000000"/>
          <w:lang w:val="en-US"/>
        </w:rPr>
        <w:t xml:space="preserve">"myasthenic </w:t>
      </w:r>
      <w:r>
        <w:rPr>
          <w:color w:val="000000"/>
          <w:lang w:val="en-US"/>
        </w:rPr>
        <w:t>snarl</w:t>
      </w:r>
      <w:r w:rsidRPr="00F7117B">
        <w:rPr>
          <w:color w:val="000000"/>
          <w:lang w:val="en-US"/>
        </w:rPr>
        <w:t xml:space="preserve">"). </w:t>
      </w:r>
      <w:bookmarkStart w:id="2" w:name="_Hlk150776759"/>
      <w:r w:rsidRPr="00F7117B">
        <w:rPr>
          <w:color w:val="000000"/>
          <w:lang w:val="en-US"/>
        </w:rPr>
        <w:t>Other primarily involved muscles include neck muscles</w:t>
      </w:r>
      <w:r>
        <w:rPr>
          <w:color w:val="000000"/>
          <w:lang w:val="en-US"/>
        </w:rPr>
        <w:t>, and limb muscles typically with a proximal pattern, and the arms tend to be more often affected than the legs</w:t>
      </w:r>
      <w:bookmarkEnd w:id="2"/>
      <w:r>
        <w:rPr>
          <w:color w:val="000000"/>
          <w:lang w:val="en-US"/>
        </w:rPr>
        <w:t xml:space="preserve">. </w:t>
      </w:r>
      <w:bookmarkStart w:id="3" w:name="_Hlk150776850"/>
      <w:r w:rsidR="00A135DD">
        <w:rPr>
          <w:color w:val="000000"/>
          <w:lang w:val="en-US"/>
        </w:rPr>
        <w:t xml:space="preserve">[16,17] </w:t>
      </w:r>
      <w:r>
        <w:rPr>
          <w:color w:val="000000"/>
          <w:lang w:val="en-US"/>
        </w:rPr>
        <w:t>Severe respiratory and/or bulbar muscles w</w:t>
      </w:r>
      <w:r w:rsidRPr="007E5B02">
        <w:rPr>
          <w:color w:val="000000"/>
          <w:lang w:val="en-US"/>
        </w:rPr>
        <w:t>eakness</w:t>
      </w:r>
      <w:r>
        <w:rPr>
          <w:color w:val="000000"/>
          <w:lang w:val="en-US"/>
        </w:rPr>
        <w:t xml:space="preserve"> may</w:t>
      </w:r>
      <w:r w:rsidRPr="007E5B02">
        <w:rPr>
          <w:color w:val="000000"/>
          <w:lang w:val="en-US"/>
        </w:rPr>
        <w:t xml:space="preserve"> </w:t>
      </w:r>
      <w:r>
        <w:rPr>
          <w:color w:val="000000"/>
          <w:lang w:val="en-US"/>
        </w:rPr>
        <w:t>lead to</w:t>
      </w:r>
      <w:r w:rsidRPr="007E5B02">
        <w:rPr>
          <w:color w:val="000000"/>
          <w:lang w:val="en-US"/>
        </w:rPr>
        <w:t xml:space="preserve"> myasthenic crisis</w:t>
      </w:r>
      <w:bookmarkEnd w:id="3"/>
      <w:r>
        <w:rPr>
          <w:color w:val="000000"/>
          <w:lang w:val="en-US"/>
        </w:rPr>
        <w:t>, a life-threatening condition triggered by</w:t>
      </w:r>
      <w:r w:rsidRPr="007E5B02">
        <w:rPr>
          <w:color w:val="000000"/>
          <w:lang w:val="en-US"/>
        </w:rPr>
        <w:t xml:space="preserve"> various factors, including surgery, infections, </w:t>
      </w:r>
      <w:r>
        <w:rPr>
          <w:color w:val="000000"/>
          <w:lang w:val="en-US"/>
        </w:rPr>
        <w:t>medications, or occurring spontaneously during an active phase of the disease</w:t>
      </w:r>
      <w:r w:rsidRPr="007E5B02">
        <w:rPr>
          <w:color w:val="000000"/>
          <w:lang w:val="en-US"/>
        </w:rPr>
        <w:t>.</w:t>
      </w:r>
      <w:r w:rsidR="00A135DD">
        <w:rPr>
          <w:color w:val="000000"/>
          <w:lang w:val="en-US"/>
        </w:rPr>
        <w:t xml:space="preserve"> [18]</w:t>
      </w:r>
      <w:r>
        <w:rPr>
          <w:lang w:val="en-US"/>
        </w:rPr>
        <w:t xml:space="preserve"> </w:t>
      </w:r>
      <w:r w:rsidRPr="007E5B02">
        <w:rPr>
          <w:color w:val="000000"/>
          <w:lang w:val="en-US"/>
        </w:rPr>
        <w:t xml:space="preserve">The severity of symptoms can be distinguished using </w:t>
      </w:r>
      <w:r>
        <w:rPr>
          <w:color w:val="000000"/>
          <w:lang w:val="en-US"/>
        </w:rPr>
        <w:t xml:space="preserve">several </w:t>
      </w:r>
      <w:r w:rsidRPr="007E5B02">
        <w:rPr>
          <w:color w:val="000000"/>
          <w:lang w:val="en-US"/>
        </w:rPr>
        <w:t xml:space="preserve">assessment scales, </w:t>
      </w:r>
      <w:r>
        <w:rPr>
          <w:color w:val="000000"/>
          <w:lang w:val="en-US"/>
        </w:rPr>
        <w:t>and the</w:t>
      </w:r>
      <w:r w:rsidRPr="007E5B02">
        <w:rPr>
          <w:color w:val="000000"/>
          <w:lang w:val="en-US"/>
        </w:rPr>
        <w:t xml:space="preserve"> most commonly used for evaluating therapy efficacy in registrational RCTs</w:t>
      </w:r>
      <w:r>
        <w:rPr>
          <w:color w:val="000000"/>
          <w:lang w:val="en-US"/>
        </w:rPr>
        <w:t xml:space="preserve"> are shown in </w:t>
      </w:r>
      <w:r w:rsidRPr="00857114">
        <w:rPr>
          <w:b/>
          <w:bCs/>
          <w:color w:val="000000"/>
          <w:lang w:val="en-US"/>
        </w:rPr>
        <w:t xml:space="preserve">Table </w:t>
      </w:r>
      <w:r>
        <w:rPr>
          <w:b/>
          <w:bCs/>
          <w:color w:val="000000"/>
          <w:lang w:val="en-US"/>
        </w:rPr>
        <w:t>1</w:t>
      </w:r>
      <w:r>
        <w:rPr>
          <w:color w:val="000000"/>
          <w:lang w:val="en-US"/>
        </w:rPr>
        <w:t>.</w:t>
      </w:r>
    </w:p>
    <w:p w14:paraId="60BE7B8D" w14:textId="77D3D647" w:rsidR="00E0319A" w:rsidRDefault="00E0319A" w:rsidP="00E0319A">
      <w:pPr>
        <w:spacing w:after="0" w:line="276" w:lineRule="auto"/>
        <w:jc w:val="both"/>
        <w:rPr>
          <w:color w:val="000000"/>
          <w:lang w:val="en-US"/>
        </w:rPr>
      </w:pPr>
      <w:r>
        <w:rPr>
          <w:color w:val="000000"/>
          <w:lang w:val="en-US"/>
        </w:rPr>
        <w:t>T</w:t>
      </w:r>
      <w:r w:rsidRPr="006960DF">
        <w:rPr>
          <w:color w:val="000000"/>
          <w:lang w:val="en-US"/>
        </w:rPr>
        <w:t xml:space="preserve">his </w:t>
      </w:r>
      <w:r>
        <w:rPr>
          <w:color w:val="000000"/>
          <w:lang w:val="en-US"/>
        </w:rPr>
        <w:t xml:space="preserve">narrative </w:t>
      </w:r>
      <w:r w:rsidRPr="006960DF">
        <w:rPr>
          <w:color w:val="000000"/>
          <w:lang w:val="en-US"/>
        </w:rPr>
        <w:t>review</w:t>
      </w:r>
      <w:r>
        <w:rPr>
          <w:color w:val="000000"/>
          <w:lang w:val="en-US"/>
        </w:rPr>
        <w:t xml:space="preserve"> aimed</w:t>
      </w:r>
      <w:r w:rsidRPr="006960DF">
        <w:rPr>
          <w:color w:val="000000"/>
          <w:lang w:val="en-US"/>
        </w:rPr>
        <w:t xml:space="preserve"> to provide an overview of the pre- and post-marketing evidence on the pharmacological treatments</w:t>
      </w:r>
      <w:r>
        <w:rPr>
          <w:color w:val="000000"/>
          <w:lang w:val="en-US"/>
        </w:rPr>
        <w:t xml:space="preserve"> most recently</w:t>
      </w:r>
      <w:r w:rsidRPr="006960DF">
        <w:rPr>
          <w:color w:val="000000"/>
          <w:lang w:val="en-US"/>
        </w:rPr>
        <w:t xml:space="preserve"> approved for the treatment of MG, by identifying both pre-clinical and clinical studies registered in clinicaltrials.gov</w:t>
      </w:r>
      <w:r>
        <w:rPr>
          <w:color w:val="000000"/>
          <w:lang w:val="en-US"/>
        </w:rPr>
        <w:t xml:space="preserve">, </w:t>
      </w:r>
      <w:r w:rsidRPr="00C71345">
        <w:rPr>
          <w:rFonts w:cstheme="minorHAnsi"/>
          <w:lang w:val="en-US"/>
        </w:rPr>
        <w:t>a public repository run by the United States National Library of Medicine,</w:t>
      </w:r>
      <w:r>
        <w:rPr>
          <w:rFonts w:cstheme="minorHAnsi"/>
          <w:lang w:val="en-US"/>
        </w:rPr>
        <w:t xml:space="preserve"> in which </w:t>
      </w:r>
      <w:r w:rsidRPr="00C71345">
        <w:rPr>
          <w:rFonts w:cstheme="minorHAnsi"/>
          <w:lang w:val="en-US"/>
        </w:rPr>
        <w:t>interventional and observational studies</w:t>
      </w:r>
      <w:r>
        <w:rPr>
          <w:rFonts w:cstheme="minorHAnsi"/>
          <w:lang w:val="en-US"/>
        </w:rPr>
        <w:t>,</w:t>
      </w:r>
      <w:r w:rsidRPr="00C71345">
        <w:rPr>
          <w:rFonts w:cstheme="minorHAnsi"/>
          <w:lang w:val="en-US"/>
        </w:rPr>
        <w:t xml:space="preserve"> as well as </w:t>
      </w:r>
      <w:r w:rsidRPr="00E71986">
        <w:rPr>
          <w:rFonts w:cstheme="minorHAnsi"/>
          <w:lang w:val="en-US"/>
        </w:rPr>
        <w:t xml:space="preserve">programs providing access to </w:t>
      </w:r>
      <w:r w:rsidRPr="00E71986">
        <w:rPr>
          <w:rFonts w:cstheme="minorHAnsi"/>
          <w:lang w:val="en-US"/>
        </w:rPr>
        <w:lastRenderedPageBreak/>
        <w:t>investigational drugs outside of clinical trials (</w:t>
      </w:r>
      <w:r>
        <w:rPr>
          <w:rFonts w:cstheme="minorHAnsi"/>
          <w:lang w:val="en-US"/>
        </w:rPr>
        <w:t xml:space="preserve">i.e., </w:t>
      </w:r>
      <w:r w:rsidRPr="00E71986">
        <w:rPr>
          <w:rFonts w:cstheme="minorHAnsi"/>
          <w:lang w:val="en-US"/>
        </w:rPr>
        <w:t>expanded access)</w:t>
      </w:r>
      <w:r>
        <w:rPr>
          <w:rFonts w:cstheme="minorHAnsi"/>
          <w:lang w:val="en-US"/>
        </w:rPr>
        <w:t>, are registered</w:t>
      </w:r>
      <w:r w:rsidRPr="00E71986">
        <w:rPr>
          <w:rFonts w:cstheme="minorHAnsi"/>
          <w:lang w:val="en-US"/>
        </w:rPr>
        <w:t>.</w:t>
      </w:r>
      <w:r>
        <w:rPr>
          <w:rFonts w:cstheme="minorHAnsi"/>
          <w:lang w:val="en-US"/>
        </w:rPr>
        <w:t xml:space="preserve"> </w:t>
      </w:r>
      <w:bookmarkStart w:id="4" w:name="_Hlk150780820"/>
      <w:r>
        <w:rPr>
          <w:rFonts w:cstheme="minorHAnsi"/>
          <w:lang w:val="en-US"/>
        </w:rPr>
        <w:t>Studies registered from the inception to June 22, 2023, concerning both approved and experimental drugs for the treatment of MG were searched using the terms “myasthenia gravis”, “a</w:t>
      </w:r>
      <w:r w:rsidRPr="003A5B4A">
        <w:rPr>
          <w:rFonts w:cstheme="minorHAnsi"/>
          <w:lang w:val="en-US"/>
        </w:rPr>
        <w:t>utoimmune myasthenia</w:t>
      </w:r>
      <w:r>
        <w:rPr>
          <w:rFonts w:cstheme="minorHAnsi"/>
          <w:lang w:val="en-US"/>
        </w:rPr>
        <w:t>”, “a</w:t>
      </w:r>
      <w:r w:rsidRPr="003A5B4A">
        <w:rPr>
          <w:rFonts w:cstheme="minorHAnsi"/>
          <w:lang w:val="en-US"/>
        </w:rPr>
        <w:t>cquired myasthenia</w:t>
      </w:r>
      <w:r>
        <w:rPr>
          <w:rFonts w:cstheme="minorHAnsi"/>
          <w:lang w:val="en-US"/>
        </w:rPr>
        <w:t>”, and “n</w:t>
      </w:r>
      <w:r w:rsidRPr="003A5B4A">
        <w:rPr>
          <w:rFonts w:cstheme="minorHAnsi"/>
          <w:lang w:val="en-US"/>
        </w:rPr>
        <w:t>euromuscular junction disorder</w:t>
      </w:r>
      <w:r>
        <w:rPr>
          <w:rFonts w:cstheme="minorHAnsi"/>
          <w:lang w:val="en-US"/>
        </w:rPr>
        <w:t>”. The results were screened by two authors (SC, MC) for inclusion in this review.</w:t>
      </w:r>
      <w:bookmarkEnd w:id="4"/>
      <w:r>
        <w:rPr>
          <w:rFonts w:cstheme="minorHAnsi"/>
          <w:lang w:val="en-US"/>
        </w:rPr>
        <w:t xml:space="preserve"> </w:t>
      </w:r>
      <w:r>
        <w:rPr>
          <w:color w:val="000000"/>
          <w:lang w:val="en-US"/>
        </w:rPr>
        <w:t xml:space="preserve">Additionally, innovative therapies </w:t>
      </w:r>
      <w:r w:rsidRPr="00B15C54">
        <w:rPr>
          <w:lang w:val="en-US"/>
        </w:rPr>
        <w:t>currently</w:t>
      </w:r>
      <w:r>
        <w:rPr>
          <w:lang w:val="en-US"/>
        </w:rPr>
        <w:t xml:space="preserve"> under investigation</w:t>
      </w:r>
      <w:r w:rsidRPr="00B15C54">
        <w:rPr>
          <w:lang w:val="en-US"/>
        </w:rPr>
        <w:t xml:space="preserve"> for the treatment of MG</w:t>
      </w:r>
      <w:r>
        <w:rPr>
          <w:lang w:val="en-US"/>
        </w:rPr>
        <w:t xml:space="preserve"> were also discussed.</w:t>
      </w:r>
    </w:p>
    <w:p w14:paraId="0696B5E7" w14:textId="4A8B15D5" w:rsidR="00E0319A" w:rsidRDefault="00E0319A" w:rsidP="00E0319A">
      <w:pPr>
        <w:spacing w:after="0" w:line="276" w:lineRule="auto"/>
        <w:jc w:val="both"/>
        <w:rPr>
          <w:b/>
          <w:bCs/>
          <w:lang w:val="en-US"/>
        </w:rPr>
      </w:pPr>
    </w:p>
    <w:p w14:paraId="5ECD250D" w14:textId="77777777" w:rsidR="00E0319A" w:rsidRPr="00041B9F" w:rsidRDefault="00E0319A" w:rsidP="00E0319A">
      <w:pPr>
        <w:pStyle w:val="Paragrafoelenco"/>
        <w:numPr>
          <w:ilvl w:val="0"/>
          <w:numId w:val="13"/>
        </w:numPr>
        <w:spacing w:after="0" w:line="276" w:lineRule="auto"/>
        <w:jc w:val="both"/>
        <w:rPr>
          <w:b/>
          <w:bCs/>
          <w:lang w:val="en-US"/>
        </w:rPr>
      </w:pPr>
      <w:r>
        <w:rPr>
          <w:b/>
          <w:bCs/>
          <w:lang w:val="en-US"/>
        </w:rPr>
        <w:t>Traditional treatments for myasthenia gravis</w:t>
      </w:r>
    </w:p>
    <w:p w14:paraId="7F133E28" w14:textId="3F2917BB" w:rsidR="00E0319A" w:rsidRPr="00041B9F" w:rsidRDefault="00E0319A" w:rsidP="00E0319A">
      <w:pPr>
        <w:spacing w:after="0" w:line="276" w:lineRule="auto"/>
        <w:jc w:val="both"/>
        <w:rPr>
          <w:lang w:val="en-US"/>
        </w:rPr>
      </w:pPr>
      <w:bookmarkStart w:id="5" w:name="_Hlk150783601"/>
      <w:r w:rsidRPr="00041B9F">
        <w:rPr>
          <w:lang w:val="en-US"/>
        </w:rPr>
        <w:t xml:space="preserve">While a definitive cure for MG is not yet available, multiple therapeutic options can significantly alleviate </w:t>
      </w:r>
      <w:r>
        <w:rPr>
          <w:lang w:val="en-US"/>
        </w:rPr>
        <w:t xml:space="preserve">MG </w:t>
      </w:r>
      <w:r w:rsidRPr="00041B9F">
        <w:rPr>
          <w:lang w:val="en-US"/>
        </w:rPr>
        <w:t xml:space="preserve">symptoms and improve </w:t>
      </w:r>
      <w:r>
        <w:rPr>
          <w:lang w:val="en-US"/>
        </w:rPr>
        <w:t>patients’</w:t>
      </w:r>
      <w:r w:rsidRPr="00041B9F">
        <w:rPr>
          <w:lang w:val="en-US"/>
        </w:rPr>
        <w:t xml:space="preserve"> quality of life.</w:t>
      </w:r>
    </w:p>
    <w:p w14:paraId="20448DF4" w14:textId="1C7F0CC4" w:rsidR="00E0319A" w:rsidRPr="006B391B" w:rsidRDefault="00E0319A" w:rsidP="00E0319A">
      <w:pPr>
        <w:spacing w:after="0" w:line="276" w:lineRule="auto"/>
        <w:jc w:val="both"/>
        <w:rPr>
          <w:lang w:val="en-US"/>
        </w:rPr>
      </w:pPr>
      <w:r>
        <w:rPr>
          <w:lang w:val="en-US"/>
        </w:rPr>
        <w:t>T</w:t>
      </w:r>
      <w:r w:rsidRPr="009A752F">
        <w:rPr>
          <w:lang w:val="en-US"/>
        </w:rPr>
        <w:t>he first therapeutic approach</w:t>
      </w:r>
      <w:r>
        <w:rPr>
          <w:lang w:val="en-US"/>
        </w:rPr>
        <w:t>, developed almost a century ago, stimulates cholinergic transmission at the neuromuscular junction by inhibiting acetylcholinesterase, the enzyme metabolizing acetylcholine into acetate and choline. Consequently, c</w:t>
      </w:r>
      <w:r w:rsidRPr="00367967">
        <w:rPr>
          <w:lang w:val="en-US"/>
        </w:rPr>
        <w:t>holinesterase inhibit</w:t>
      </w:r>
      <w:r>
        <w:rPr>
          <w:lang w:val="en-US"/>
        </w:rPr>
        <w:t>ion</w:t>
      </w:r>
      <w:r w:rsidRPr="00367967">
        <w:rPr>
          <w:lang w:val="en-US"/>
        </w:rPr>
        <w:t xml:space="preserve"> result</w:t>
      </w:r>
      <w:r>
        <w:rPr>
          <w:lang w:val="en-US"/>
        </w:rPr>
        <w:t>s</w:t>
      </w:r>
      <w:r w:rsidRPr="00367967">
        <w:rPr>
          <w:lang w:val="en-US"/>
        </w:rPr>
        <w:t xml:space="preserve"> in a buildup of acetylcholine in the synaptic cleft</w:t>
      </w:r>
      <w:r>
        <w:rPr>
          <w:lang w:val="en-US"/>
        </w:rPr>
        <w:t>. Acetylcholinesterase inhibitors currently approved for the treatment of MG patients are p</w:t>
      </w:r>
      <w:r w:rsidRPr="00367967">
        <w:rPr>
          <w:lang w:val="en-US"/>
        </w:rPr>
        <w:t>yridostigmine</w:t>
      </w:r>
      <w:r>
        <w:rPr>
          <w:lang w:val="en-US"/>
        </w:rPr>
        <w:t xml:space="preserve">, and </w:t>
      </w:r>
      <w:r w:rsidRPr="00367967">
        <w:rPr>
          <w:lang w:val="en-US"/>
        </w:rPr>
        <w:t>neostigmine</w:t>
      </w:r>
      <w:r>
        <w:rPr>
          <w:lang w:val="en-US"/>
        </w:rPr>
        <w:t xml:space="preserve">, which are </w:t>
      </w:r>
      <w:r w:rsidRPr="009A752F">
        <w:rPr>
          <w:lang w:val="en-US"/>
        </w:rPr>
        <w:t xml:space="preserve">still considered </w:t>
      </w:r>
      <w:r>
        <w:rPr>
          <w:lang w:val="en-US"/>
        </w:rPr>
        <w:t>as a possible</w:t>
      </w:r>
      <w:r w:rsidRPr="009A752F">
        <w:rPr>
          <w:lang w:val="en-US"/>
        </w:rPr>
        <w:t xml:space="preserve"> first-line </w:t>
      </w:r>
      <w:r>
        <w:rPr>
          <w:lang w:val="en-US"/>
        </w:rPr>
        <w:t xml:space="preserve">therapy for the treatment of the </w:t>
      </w:r>
      <w:proofErr w:type="spellStart"/>
      <w:r>
        <w:rPr>
          <w:lang w:val="en-US"/>
        </w:rPr>
        <w:t>AChR</w:t>
      </w:r>
      <w:proofErr w:type="spellEnd"/>
      <w:r>
        <w:rPr>
          <w:lang w:val="en-US"/>
        </w:rPr>
        <w:t xml:space="preserve"> antibody-positive disease,</w:t>
      </w:r>
      <w:r w:rsidRPr="009A752F">
        <w:rPr>
          <w:lang w:val="en-US"/>
        </w:rPr>
        <w:t xml:space="preserve"> </w:t>
      </w:r>
      <w:r>
        <w:rPr>
          <w:lang w:val="en-US"/>
        </w:rPr>
        <w:t xml:space="preserve">since they can </w:t>
      </w:r>
      <w:r w:rsidRPr="009A752F">
        <w:rPr>
          <w:lang w:val="en-US"/>
        </w:rPr>
        <w:t>significantly enhance muscle strength, especially in milder forms of the disease.</w:t>
      </w:r>
      <w:r w:rsidR="00A135DD">
        <w:rPr>
          <w:lang w:val="en-US"/>
        </w:rPr>
        <w:t xml:space="preserve"> [19]</w:t>
      </w:r>
    </w:p>
    <w:p w14:paraId="01068237" w14:textId="4C42A592" w:rsidR="00E0319A" w:rsidRDefault="00E0319A" w:rsidP="00E0319A">
      <w:pPr>
        <w:spacing w:after="0" w:line="276" w:lineRule="auto"/>
        <w:jc w:val="both"/>
        <w:rPr>
          <w:lang w:val="en-US"/>
        </w:rPr>
      </w:pPr>
      <w:r>
        <w:rPr>
          <w:lang w:val="en-US"/>
        </w:rPr>
        <w:t>G</w:t>
      </w:r>
      <w:r w:rsidRPr="001B320E">
        <w:rPr>
          <w:lang w:val="en-US"/>
        </w:rPr>
        <w:t>iven the autoimmune basis of MG</w:t>
      </w:r>
      <w:r>
        <w:rPr>
          <w:lang w:val="en-US"/>
        </w:rPr>
        <w:t>, another classical therapeutic approach is based on</w:t>
      </w:r>
      <w:r w:rsidRPr="001B320E">
        <w:rPr>
          <w:lang w:val="en-US"/>
        </w:rPr>
        <w:t xml:space="preserve"> immunosuppress</w:t>
      </w:r>
      <w:r>
        <w:rPr>
          <w:lang w:val="en-US"/>
        </w:rPr>
        <w:t>ant</w:t>
      </w:r>
      <w:r w:rsidRPr="001B320E">
        <w:rPr>
          <w:lang w:val="en-US"/>
        </w:rPr>
        <w:t xml:space="preserve"> drugs</w:t>
      </w:r>
      <w:r>
        <w:rPr>
          <w:lang w:val="en-US"/>
        </w:rPr>
        <w:t>, such as c</w:t>
      </w:r>
      <w:r w:rsidRPr="001B320E">
        <w:rPr>
          <w:lang w:val="en-US"/>
        </w:rPr>
        <w:t>orticosteroids (</w:t>
      </w:r>
      <w:r>
        <w:rPr>
          <w:lang w:val="en-US"/>
        </w:rPr>
        <w:t xml:space="preserve">i.e., </w:t>
      </w:r>
      <w:r w:rsidRPr="001B320E">
        <w:rPr>
          <w:lang w:val="en-US"/>
        </w:rPr>
        <w:t xml:space="preserve">prednisone), azathioprine, </w:t>
      </w:r>
      <w:r>
        <w:rPr>
          <w:lang w:val="en-US"/>
        </w:rPr>
        <w:t xml:space="preserve">mycophenolic acid, tacrolimus, methotrexate, </w:t>
      </w:r>
      <w:r w:rsidRPr="001B320E">
        <w:rPr>
          <w:lang w:val="en-US"/>
        </w:rPr>
        <w:t>cyclosporine A, and cyclophosphamide</w:t>
      </w:r>
      <w:r>
        <w:rPr>
          <w:lang w:val="en-US"/>
        </w:rPr>
        <w:t>. They can be</w:t>
      </w:r>
      <w:r w:rsidRPr="001B320E">
        <w:rPr>
          <w:lang w:val="en-US"/>
        </w:rPr>
        <w:t xml:space="preserve"> administered in </w:t>
      </w:r>
      <w:r>
        <w:rPr>
          <w:lang w:val="en-US"/>
        </w:rPr>
        <w:t xml:space="preserve">both acute and chronic </w:t>
      </w:r>
      <w:r w:rsidRPr="001B320E">
        <w:rPr>
          <w:lang w:val="en-US"/>
        </w:rPr>
        <w:t>therapeutic regimens, individually or in combination</w:t>
      </w:r>
      <w:r>
        <w:rPr>
          <w:lang w:val="en-US"/>
        </w:rPr>
        <w:t>, for the treatment of MG patients</w:t>
      </w:r>
      <w:r w:rsidRPr="001B320E">
        <w:rPr>
          <w:lang w:val="en-US"/>
        </w:rPr>
        <w:t>. However,</w:t>
      </w:r>
      <w:r>
        <w:rPr>
          <w:lang w:val="en-US"/>
        </w:rPr>
        <w:t xml:space="preserve"> </w:t>
      </w:r>
      <w:r w:rsidRPr="001B320E">
        <w:rPr>
          <w:lang w:val="en-US"/>
        </w:rPr>
        <w:t xml:space="preserve">the </w:t>
      </w:r>
      <w:r>
        <w:rPr>
          <w:lang w:val="en-US"/>
        </w:rPr>
        <w:t>severe side effects associated with their long-term use and the lack of effectiveness in some patients frequently lead to a switch in therapy.</w:t>
      </w:r>
      <w:r w:rsidRPr="001B320E">
        <w:rPr>
          <w:lang w:val="en-US"/>
        </w:rPr>
        <w:t xml:space="preserve"> An alternative approach involves the high-dose intravenous administration of immunoglobulins (IVIg), which can counteract </w:t>
      </w:r>
      <w:proofErr w:type="spellStart"/>
      <w:r w:rsidRPr="001B320E">
        <w:rPr>
          <w:lang w:val="en-US"/>
        </w:rPr>
        <w:t>AChR</w:t>
      </w:r>
      <w:proofErr w:type="spellEnd"/>
      <w:r w:rsidRPr="001B320E">
        <w:rPr>
          <w:lang w:val="en-US"/>
        </w:rPr>
        <w:t xml:space="preserve"> IgG antibodies.</w:t>
      </w:r>
      <w:r>
        <w:rPr>
          <w:lang w:val="en-US"/>
        </w:rPr>
        <w:t xml:space="preserve"> </w:t>
      </w:r>
      <w:bookmarkStart w:id="6" w:name="_Hlk150777815"/>
      <w:r w:rsidRPr="00D62133">
        <w:rPr>
          <w:lang w:val="en-US"/>
        </w:rPr>
        <w:t>The mechanism</w:t>
      </w:r>
      <w:r>
        <w:rPr>
          <w:lang w:val="en-US"/>
        </w:rPr>
        <w:t xml:space="preserve"> through which </w:t>
      </w:r>
      <w:r w:rsidRPr="00D62133">
        <w:rPr>
          <w:lang w:val="en-US"/>
        </w:rPr>
        <w:t>IVI</w:t>
      </w:r>
      <w:r>
        <w:rPr>
          <w:lang w:val="en-US"/>
        </w:rPr>
        <w:t xml:space="preserve">g may </w:t>
      </w:r>
      <w:r w:rsidRPr="00E0319A">
        <w:rPr>
          <w:lang w:val="en-US"/>
        </w:rPr>
        <w:t>improve neuromuscular transmission</w:t>
      </w:r>
      <w:r w:rsidRPr="00D62133">
        <w:rPr>
          <w:lang w:val="en-US"/>
        </w:rPr>
        <w:t xml:space="preserve"> is</w:t>
      </w:r>
      <w:r>
        <w:rPr>
          <w:lang w:val="en-US"/>
        </w:rPr>
        <w:t xml:space="preserve"> not well-known yet,</w:t>
      </w:r>
      <w:r w:rsidRPr="00D62133">
        <w:rPr>
          <w:lang w:val="en-US"/>
        </w:rPr>
        <w:t xml:space="preserve"> but</w:t>
      </w:r>
      <w:r>
        <w:rPr>
          <w:lang w:val="en-US"/>
        </w:rPr>
        <w:t xml:space="preserve"> it may be associated with an </w:t>
      </w:r>
      <w:r w:rsidRPr="00D62133">
        <w:rPr>
          <w:lang w:val="en-US"/>
        </w:rPr>
        <w:t xml:space="preserve">anti-idiotype antibody action, </w:t>
      </w:r>
      <w:r>
        <w:rPr>
          <w:lang w:val="en-US"/>
        </w:rPr>
        <w:t xml:space="preserve">a </w:t>
      </w:r>
      <w:r w:rsidRPr="00D62133">
        <w:rPr>
          <w:lang w:val="en-US"/>
        </w:rPr>
        <w:t>modulati</w:t>
      </w:r>
      <w:r>
        <w:rPr>
          <w:lang w:val="en-US"/>
        </w:rPr>
        <w:t xml:space="preserve">ng activity </w:t>
      </w:r>
      <w:r w:rsidRPr="00D62133">
        <w:rPr>
          <w:lang w:val="en-US"/>
        </w:rPr>
        <w:t>of Fc receptor</w:t>
      </w:r>
      <w:r>
        <w:rPr>
          <w:lang w:val="en-US"/>
        </w:rPr>
        <w:t xml:space="preserve"> </w:t>
      </w:r>
      <w:r w:rsidRPr="00D62133">
        <w:rPr>
          <w:lang w:val="en-US"/>
        </w:rPr>
        <w:t xml:space="preserve">function, and </w:t>
      </w:r>
      <w:r>
        <w:rPr>
          <w:lang w:val="en-US"/>
        </w:rPr>
        <w:t xml:space="preserve">an </w:t>
      </w:r>
      <w:r w:rsidRPr="00D62133">
        <w:rPr>
          <w:lang w:val="en-US"/>
        </w:rPr>
        <w:t>accelerated clearance</w:t>
      </w:r>
      <w:r>
        <w:rPr>
          <w:lang w:val="en-US"/>
        </w:rPr>
        <w:t xml:space="preserve"> of autoantibodies</w:t>
      </w:r>
      <w:bookmarkEnd w:id="6"/>
      <w:r>
        <w:rPr>
          <w:lang w:val="en-US"/>
        </w:rPr>
        <w:t>.</w:t>
      </w:r>
      <w:r w:rsidR="001841EB">
        <w:rPr>
          <w:lang w:val="en-US"/>
        </w:rPr>
        <w:t xml:space="preserve"> [20]</w:t>
      </w:r>
      <w:r w:rsidRPr="001B320E">
        <w:rPr>
          <w:lang w:val="en-US"/>
        </w:rPr>
        <w:t xml:space="preserve"> IVIg</w:t>
      </w:r>
      <w:r>
        <w:rPr>
          <w:lang w:val="en-US"/>
        </w:rPr>
        <w:t xml:space="preserve"> administration</w:t>
      </w:r>
      <w:r w:rsidRPr="001B320E">
        <w:rPr>
          <w:lang w:val="en-US"/>
        </w:rPr>
        <w:t xml:space="preserve"> </w:t>
      </w:r>
      <w:r>
        <w:rPr>
          <w:lang w:val="en-US"/>
        </w:rPr>
        <w:t>is</w:t>
      </w:r>
      <w:r w:rsidRPr="001B320E">
        <w:rPr>
          <w:lang w:val="en-US"/>
        </w:rPr>
        <w:t xml:space="preserve"> recommended for patients in acute phases of MG and those refractory to immunosuppressive therapies.</w:t>
      </w:r>
      <w:r w:rsidR="001841EB">
        <w:rPr>
          <w:lang w:val="en-US"/>
        </w:rPr>
        <w:t xml:space="preserve"> [21]</w:t>
      </w:r>
      <w:r w:rsidRPr="001B320E">
        <w:rPr>
          <w:lang w:val="en-US"/>
        </w:rPr>
        <w:t xml:space="preserve"> Although this pharmacological approach has shown </w:t>
      </w:r>
      <w:r>
        <w:rPr>
          <w:lang w:val="en-US"/>
        </w:rPr>
        <w:t>promising</w:t>
      </w:r>
      <w:r w:rsidRPr="001B320E">
        <w:rPr>
          <w:lang w:val="en-US"/>
        </w:rPr>
        <w:t xml:space="preserve"> results and excellent patient compliance, its long-term efficacy is still being evaluated</w:t>
      </w:r>
      <w:r>
        <w:rPr>
          <w:lang w:val="en-US"/>
        </w:rPr>
        <w:t>.</w:t>
      </w:r>
      <w:r w:rsidR="001841EB">
        <w:rPr>
          <w:lang w:val="en-US"/>
        </w:rPr>
        <w:t xml:space="preserve"> [22,23]</w:t>
      </w:r>
    </w:p>
    <w:p w14:paraId="71BE30C6" w14:textId="105DC056" w:rsidR="00E0319A" w:rsidRDefault="00E0319A" w:rsidP="00E0319A">
      <w:pPr>
        <w:spacing w:after="0" w:line="276" w:lineRule="auto"/>
        <w:jc w:val="both"/>
        <w:rPr>
          <w:lang w:val="en-US"/>
        </w:rPr>
      </w:pPr>
      <w:bookmarkStart w:id="7" w:name="_Hlk150504405"/>
      <w:r>
        <w:rPr>
          <w:lang w:val="en-US"/>
        </w:rPr>
        <w:t>Plasma exchange (PLEX) is another therapeutic approach for MG patients, consisting in the direct elimination of autoantibodies and complement components involved in the pathogenesis of the disease, as well as in the reduction of the levels of pro-inflammatory cytokines, such as interleukin-10.</w:t>
      </w:r>
      <w:r w:rsidR="001841EB">
        <w:rPr>
          <w:lang w:val="en-US"/>
        </w:rPr>
        <w:t xml:space="preserve"> [24-26]</w:t>
      </w:r>
      <w:r>
        <w:rPr>
          <w:lang w:val="en-US"/>
        </w:rPr>
        <w:t xml:space="preserve"> </w:t>
      </w:r>
      <w:bookmarkEnd w:id="5"/>
      <w:bookmarkEnd w:id="7"/>
    </w:p>
    <w:p w14:paraId="28620FFF" w14:textId="77777777" w:rsidR="00E0319A" w:rsidRPr="009A752F" w:rsidRDefault="00E0319A" w:rsidP="00E0319A">
      <w:pPr>
        <w:spacing w:after="0" w:line="276" w:lineRule="auto"/>
        <w:jc w:val="both"/>
        <w:rPr>
          <w:lang w:val="en-US"/>
        </w:rPr>
      </w:pPr>
    </w:p>
    <w:p w14:paraId="550C7696" w14:textId="77777777" w:rsidR="00E0319A" w:rsidRPr="00E0319A" w:rsidRDefault="00E0319A" w:rsidP="00E0319A">
      <w:pPr>
        <w:pStyle w:val="Paragrafoelenco"/>
        <w:numPr>
          <w:ilvl w:val="0"/>
          <w:numId w:val="13"/>
        </w:numPr>
        <w:spacing w:after="0" w:line="276" w:lineRule="auto"/>
        <w:jc w:val="both"/>
        <w:rPr>
          <w:b/>
          <w:bCs/>
          <w:lang w:val="en-US"/>
        </w:rPr>
      </w:pPr>
      <w:bookmarkStart w:id="8" w:name="_Hlk150778492"/>
      <w:r w:rsidRPr="00E0319A">
        <w:rPr>
          <w:b/>
          <w:bCs/>
          <w:lang w:val="en-US"/>
        </w:rPr>
        <w:t>Novel treatments for myasthenia gravis</w:t>
      </w:r>
    </w:p>
    <w:p w14:paraId="5A2E473C" w14:textId="059ED1BD" w:rsidR="00E0319A" w:rsidRDefault="00E0319A" w:rsidP="00E0319A">
      <w:pPr>
        <w:spacing w:after="0" w:line="276" w:lineRule="auto"/>
        <w:jc w:val="both"/>
        <w:rPr>
          <w:lang w:val="en-US"/>
        </w:rPr>
      </w:pPr>
      <w:r w:rsidRPr="000F311F">
        <w:rPr>
          <w:lang w:val="en-US"/>
        </w:rPr>
        <w:t xml:space="preserve">Due to </w:t>
      </w:r>
      <w:r>
        <w:rPr>
          <w:lang w:val="en-US"/>
        </w:rPr>
        <w:t xml:space="preserve">the abovementioned </w:t>
      </w:r>
      <w:r w:rsidRPr="000F311F">
        <w:rPr>
          <w:lang w:val="en-US"/>
        </w:rPr>
        <w:t xml:space="preserve">challenges, </w:t>
      </w:r>
      <w:r>
        <w:rPr>
          <w:lang w:val="en-US"/>
        </w:rPr>
        <w:t xml:space="preserve">several innovative strategies have been developed in recent years. One of them </w:t>
      </w:r>
      <w:r w:rsidRPr="000F311F">
        <w:rPr>
          <w:lang w:val="en-US"/>
        </w:rPr>
        <w:t>target</w:t>
      </w:r>
      <w:r>
        <w:rPr>
          <w:lang w:val="en-US"/>
        </w:rPr>
        <w:t>s</w:t>
      </w:r>
      <w:r w:rsidRPr="000F311F">
        <w:rPr>
          <w:lang w:val="en-US"/>
        </w:rPr>
        <w:t xml:space="preserve"> the downstream mechanism activated by the interaction of IgG autoantibodies with the </w:t>
      </w:r>
      <w:r>
        <w:rPr>
          <w:lang w:val="en-US"/>
        </w:rPr>
        <w:t>nicotinic</w:t>
      </w:r>
      <w:r w:rsidRPr="000F311F">
        <w:rPr>
          <w:lang w:val="en-US"/>
        </w:rPr>
        <w:t xml:space="preserve"> receptor, specifically the classic </w:t>
      </w:r>
      <w:r>
        <w:rPr>
          <w:lang w:val="en-US"/>
        </w:rPr>
        <w:t xml:space="preserve">and common </w:t>
      </w:r>
      <w:r w:rsidRPr="000F311F">
        <w:rPr>
          <w:lang w:val="en-US"/>
        </w:rPr>
        <w:t xml:space="preserve">complement cascade. </w:t>
      </w:r>
      <w:r w:rsidRPr="008C3F76">
        <w:rPr>
          <w:lang w:val="en-US"/>
        </w:rPr>
        <w:t xml:space="preserve">The final steps </w:t>
      </w:r>
      <w:r>
        <w:rPr>
          <w:lang w:val="en-US"/>
        </w:rPr>
        <w:t>of</w:t>
      </w:r>
      <w:r w:rsidRPr="008C3F76">
        <w:rPr>
          <w:lang w:val="en-US"/>
        </w:rPr>
        <w:t xml:space="preserve"> the cascade </w:t>
      </w:r>
      <w:r>
        <w:rPr>
          <w:lang w:val="en-US"/>
        </w:rPr>
        <w:t>form</w:t>
      </w:r>
      <w:r w:rsidRPr="008C3F76">
        <w:rPr>
          <w:lang w:val="en-US"/>
        </w:rPr>
        <w:t xml:space="preserve"> C5 convertase, which splits C5 into C5a and C5b</w:t>
      </w:r>
      <w:r>
        <w:rPr>
          <w:lang w:val="en-US"/>
        </w:rPr>
        <w:t xml:space="preserve">, </w:t>
      </w:r>
      <w:r w:rsidRPr="000F311F">
        <w:rPr>
          <w:lang w:val="en-US"/>
        </w:rPr>
        <w:t xml:space="preserve">with </w:t>
      </w:r>
      <w:r>
        <w:rPr>
          <w:lang w:val="en-US"/>
        </w:rPr>
        <w:t>the latter</w:t>
      </w:r>
      <w:r w:rsidRPr="000F311F">
        <w:rPr>
          <w:lang w:val="en-US"/>
        </w:rPr>
        <w:t xml:space="preserve"> being </w:t>
      </w:r>
      <w:r>
        <w:rPr>
          <w:lang w:val="en-US"/>
        </w:rPr>
        <w:t xml:space="preserve">the primary </w:t>
      </w:r>
      <w:r w:rsidRPr="000F311F">
        <w:rPr>
          <w:lang w:val="en-US"/>
        </w:rPr>
        <w:t>responsible for cellular damage</w:t>
      </w:r>
      <w:r w:rsidRPr="008C3F76">
        <w:rPr>
          <w:lang w:val="en-US"/>
        </w:rPr>
        <w:t>.</w:t>
      </w:r>
      <w:r>
        <w:rPr>
          <w:lang w:val="en-US"/>
        </w:rPr>
        <w:t xml:space="preserve"> </w:t>
      </w:r>
      <w:r w:rsidRPr="000F311F">
        <w:rPr>
          <w:lang w:val="en-US"/>
        </w:rPr>
        <w:t xml:space="preserve">Monoclonal antibodies </w:t>
      </w:r>
      <w:r>
        <w:rPr>
          <w:lang w:val="en-US"/>
        </w:rPr>
        <w:t>binding the</w:t>
      </w:r>
      <w:r w:rsidRPr="000F311F">
        <w:rPr>
          <w:lang w:val="en-US"/>
        </w:rPr>
        <w:t xml:space="preserve"> complement factor C5 have been synthesized to prevent its cleavage by C5 convertase</w:t>
      </w:r>
      <w:r w:rsidR="00F148D1">
        <w:rPr>
          <w:lang w:val="en-US"/>
        </w:rPr>
        <w:t xml:space="preserve"> [27]</w:t>
      </w:r>
      <w:r w:rsidRPr="000F311F">
        <w:rPr>
          <w:lang w:val="en-US"/>
        </w:rPr>
        <w:t xml:space="preserve"> </w:t>
      </w:r>
      <w:bookmarkEnd w:id="8"/>
      <w:r w:rsidRPr="000F311F">
        <w:rPr>
          <w:lang w:val="en-US"/>
        </w:rPr>
        <w:t>(</w:t>
      </w:r>
      <w:r w:rsidRPr="003546F8">
        <w:rPr>
          <w:b/>
          <w:bCs/>
          <w:lang w:val="en-US"/>
        </w:rPr>
        <w:t>Fig</w:t>
      </w:r>
      <w:r>
        <w:rPr>
          <w:b/>
          <w:bCs/>
          <w:lang w:val="en-US"/>
        </w:rPr>
        <w:t>.</w:t>
      </w:r>
      <w:r w:rsidRPr="003546F8">
        <w:rPr>
          <w:b/>
          <w:bCs/>
          <w:lang w:val="en-US"/>
        </w:rPr>
        <w:t xml:space="preserve"> </w:t>
      </w:r>
      <w:r>
        <w:rPr>
          <w:b/>
          <w:bCs/>
          <w:lang w:val="en-US"/>
        </w:rPr>
        <w:t>1</w:t>
      </w:r>
      <w:r w:rsidRPr="000F311F">
        <w:rPr>
          <w:lang w:val="en-US"/>
        </w:rPr>
        <w:t>).</w:t>
      </w:r>
      <w:r>
        <w:rPr>
          <w:lang w:val="en-US"/>
        </w:rPr>
        <w:t xml:space="preserve"> </w:t>
      </w:r>
    </w:p>
    <w:p w14:paraId="3C6FB478" w14:textId="058ACD8D" w:rsidR="00E0319A" w:rsidRPr="00165794" w:rsidRDefault="00E0319A" w:rsidP="00E0319A">
      <w:pPr>
        <w:spacing w:after="0" w:line="276" w:lineRule="auto"/>
        <w:jc w:val="both"/>
        <w:rPr>
          <w:lang w:val="en-US"/>
        </w:rPr>
      </w:pPr>
      <w:r>
        <w:rPr>
          <w:lang w:val="en-US"/>
        </w:rPr>
        <w:t>Over the years, e</w:t>
      </w:r>
      <w:r w:rsidRPr="00165794">
        <w:rPr>
          <w:lang w:val="en-US"/>
        </w:rPr>
        <w:t>xperimental autoimmune myasthenia gravis (EAMG) models have greatly contributed to understanding MG pathogenesis, the role of the complement system and identifying new immunotherapies for disease modulation. Numerous EAMG models (</w:t>
      </w:r>
      <w:r>
        <w:rPr>
          <w:lang w:val="en-US"/>
        </w:rPr>
        <w:t xml:space="preserve">i.e., </w:t>
      </w:r>
      <w:r w:rsidRPr="00165794">
        <w:rPr>
          <w:lang w:val="en-US"/>
        </w:rPr>
        <w:t xml:space="preserve">mouse, rat, rabbit) have been developed using various immunization techniques. </w:t>
      </w:r>
      <w:r>
        <w:rPr>
          <w:lang w:val="en-US"/>
        </w:rPr>
        <w:t>R</w:t>
      </w:r>
      <w:r w:rsidRPr="00165794">
        <w:rPr>
          <w:lang w:val="en-US"/>
        </w:rPr>
        <w:t xml:space="preserve">eference guidelines </w:t>
      </w:r>
      <w:r>
        <w:rPr>
          <w:lang w:val="en-US"/>
        </w:rPr>
        <w:t xml:space="preserve">have been established </w:t>
      </w:r>
      <w:r w:rsidRPr="00165794">
        <w:rPr>
          <w:lang w:val="en-US"/>
        </w:rPr>
        <w:t xml:space="preserve">to induce autoimmune disease in animals, </w:t>
      </w:r>
      <w:r>
        <w:rPr>
          <w:lang w:val="en-US"/>
        </w:rPr>
        <w:t xml:space="preserve">allowing </w:t>
      </w:r>
      <w:r w:rsidRPr="00165794">
        <w:rPr>
          <w:lang w:val="en-US"/>
        </w:rPr>
        <w:t>researchers</w:t>
      </w:r>
      <w:r>
        <w:rPr>
          <w:lang w:val="en-US"/>
        </w:rPr>
        <w:t xml:space="preserve"> </w:t>
      </w:r>
      <w:r w:rsidRPr="00165794">
        <w:rPr>
          <w:lang w:val="en-US"/>
        </w:rPr>
        <w:t>to achieve standardized high-level models.</w:t>
      </w:r>
      <w:r w:rsidR="00F148D1">
        <w:rPr>
          <w:lang w:val="en-US"/>
        </w:rPr>
        <w:t xml:space="preserve"> [28-30]</w:t>
      </w:r>
    </w:p>
    <w:p w14:paraId="40A107D5" w14:textId="63E2E66B" w:rsidR="00E0319A" w:rsidRDefault="00E0319A" w:rsidP="00E0319A">
      <w:pPr>
        <w:spacing w:after="0" w:line="276" w:lineRule="auto"/>
        <w:jc w:val="both"/>
        <w:rPr>
          <w:rFonts w:eastAsia="Calibri Light" w:cstheme="minorHAnsi"/>
          <w:color w:val="000000" w:themeColor="text1"/>
          <w:lang w:val="en-US"/>
        </w:rPr>
      </w:pPr>
      <w:r w:rsidRPr="006F04F1">
        <w:rPr>
          <w:lang w:val="en-US"/>
        </w:rPr>
        <w:lastRenderedPageBreak/>
        <w:t xml:space="preserve">Preclinical studies that identified therapeutic targets were </w:t>
      </w:r>
      <w:r>
        <w:rPr>
          <w:lang w:val="en-US"/>
        </w:rPr>
        <w:t>mostly</w:t>
      </w:r>
      <w:r w:rsidRPr="006F04F1">
        <w:rPr>
          <w:lang w:val="en-US"/>
        </w:rPr>
        <w:t xml:space="preserve"> conducted in rodents that closely replicate clinical MG symptoms (muscle weakness, fatigue, decreased response to repetitive nerve stimulation) and its immunopathological characteristics. </w:t>
      </w:r>
      <w:r>
        <w:rPr>
          <w:lang w:val="en-US"/>
        </w:rPr>
        <w:t>The use of t</w:t>
      </w:r>
      <w:r w:rsidRPr="006F04F1">
        <w:rPr>
          <w:lang w:val="en-US"/>
        </w:rPr>
        <w:t xml:space="preserve">ransgenic knockout and mutant models </w:t>
      </w:r>
      <w:r>
        <w:rPr>
          <w:lang w:val="en-US"/>
        </w:rPr>
        <w:t>greatly supported the comprehension of</w:t>
      </w:r>
      <w:r w:rsidRPr="006F04F1">
        <w:rPr>
          <w:lang w:val="en-US"/>
        </w:rPr>
        <w:t xml:space="preserve"> the biological mechanisms underlying MG pathogenesis.</w:t>
      </w:r>
      <w:r w:rsidR="00F148D1">
        <w:rPr>
          <w:lang w:val="en-US"/>
        </w:rPr>
        <w:t xml:space="preserve"> [31-33]</w:t>
      </w:r>
      <w:r>
        <w:rPr>
          <w:lang w:val="en-US"/>
        </w:rPr>
        <w:t xml:space="preserve"> In particular,</w:t>
      </w:r>
      <w:r w:rsidR="00EC5657">
        <w:rPr>
          <w:lang w:val="en-US"/>
        </w:rPr>
        <w:t xml:space="preserve"> </w:t>
      </w:r>
      <w:r>
        <w:rPr>
          <w:rFonts w:eastAsia="Calibri Light" w:cstheme="minorHAnsi"/>
          <w:color w:val="000000" w:themeColor="text1"/>
          <w:lang w:val="en-US"/>
        </w:rPr>
        <w:t>t</w:t>
      </w:r>
      <w:r w:rsidRPr="00445357">
        <w:rPr>
          <w:rFonts w:eastAsia="Calibri Light" w:cstheme="minorHAnsi"/>
          <w:color w:val="000000" w:themeColor="text1"/>
          <w:lang w:val="en-US"/>
        </w:rPr>
        <w:t xml:space="preserve">hese models revealed that </w:t>
      </w:r>
      <w:r>
        <w:rPr>
          <w:rFonts w:eastAsia="Calibri Light" w:cstheme="minorHAnsi"/>
          <w:color w:val="000000" w:themeColor="text1"/>
          <w:lang w:val="en-US"/>
        </w:rPr>
        <w:t xml:space="preserve">the </w:t>
      </w:r>
      <w:r w:rsidRPr="00445357">
        <w:rPr>
          <w:rFonts w:eastAsia="Calibri Light" w:cstheme="minorHAnsi"/>
          <w:color w:val="000000" w:themeColor="text1"/>
          <w:lang w:val="en-US"/>
        </w:rPr>
        <w:t xml:space="preserve">activation of the classical complement pathway </w:t>
      </w:r>
      <w:r>
        <w:rPr>
          <w:rFonts w:eastAsia="Calibri Light" w:cstheme="minorHAnsi"/>
          <w:color w:val="000000" w:themeColor="text1"/>
          <w:lang w:val="en-US"/>
        </w:rPr>
        <w:t>is crucial</w:t>
      </w:r>
      <w:r w:rsidRPr="00445357">
        <w:rPr>
          <w:rFonts w:eastAsia="Calibri Light" w:cstheme="minorHAnsi"/>
          <w:color w:val="000000" w:themeColor="text1"/>
          <w:lang w:val="en-US"/>
        </w:rPr>
        <w:t xml:space="preserve"> in EAMG pathogenesis due to the presence of </w:t>
      </w:r>
      <w:proofErr w:type="spellStart"/>
      <w:r w:rsidRPr="00445357">
        <w:rPr>
          <w:rFonts w:eastAsia="Calibri Light" w:cstheme="minorHAnsi"/>
          <w:color w:val="000000" w:themeColor="text1"/>
          <w:lang w:val="en-US"/>
        </w:rPr>
        <w:t>AChR</w:t>
      </w:r>
      <w:proofErr w:type="spellEnd"/>
      <w:r w:rsidRPr="00445357">
        <w:rPr>
          <w:rFonts w:eastAsia="Calibri Light" w:cstheme="minorHAnsi"/>
          <w:color w:val="000000" w:themeColor="text1"/>
          <w:lang w:val="en-US"/>
        </w:rPr>
        <w:t xml:space="preserve"> or LRP4 antibodies, unlike </w:t>
      </w:r>
      <w:proofErr w:type="spellStart"/>
      <w:r w:rsidRPr="00445357">
        <w:rPr>
          <w:rFonts w:eastAsia="Calibri Light" w:cstheme="minorHAnsi"/>
          <w:color w:val="000000" w:themeColor="text1"/>
          <w:lang w:val="en-US"/>
        </w:rPr>
        <w:t>MuSK</w:t>
      </w:r>
      <w:proofErr w:type="spellEnd"/>
      <w:r w:rsidRPr="00445357">
        <w:rPr>
          <w:rFonts w:eastAsia="Calibri Light" w:cstheme="minorHAnsi"/>
          <w:color w:val="000000" w:themeColor="text1"/>
          <w:lang w:val="en-US"/>
        </w:rPr>
        <w:t xml:space="preserve"> antibody models where the complement pathway is not activated.</w:t>
      </w:r>
      <w:r w:rsidR="00F148D1">
        <w:rPr>
          <w:rFonts w:eastAsia="Calibri Light" w:cstheme="minorHAnsi"/>
          <w:color w:val="000000" w:themeColor="text1"/>
          <w:lang w:val="en-US"/>
        </w:rPr>
        <w:t xml:space="preserve"> [34-40]</w:t>
      </w:r>
      <w:r w:rsidRPr="00445357">
        <w:rPr>
          <w:rFonts w:eastAsia="Calibri Light" w:cstheme="minorHAnsi"/>
          <w:color w:val="000000" w:themeColor="text1"/>
          <w:lang w:val="en-US"/>
        </w:rPr>
        <w:t xml:space="preserve"> </w:t>
      </w:r>
      <w:r>
        <w:rPr>
          <w:rFonts w:eastAsia="Calibri Light" w:cstheme="minorHAnsi"/>
          <w:color w:val="000000" w:themeColor="text1"/>
          <w:lang w:val="en-US"/>
        </w:rPr>
        <w:t xml:space="preserve">Thanks to </w:t>
      </w:r>
      <w:r w:rsidRPr="00445357">
        <w:rPr>
          <w:rFonts w:eastAsia="Calibri Light" w:cstheme="minorHAnsi"/>
          <w:color w:val="000000" w:themeColor="text1"/>
          <w:lang w:val="en-US"/>
        </w:rPr>
        <w:t xml:space="preserve">the EAMG model, </w:t>
      </w:r>
      <w:r>
        <w:rPr>
          <w:rFonts w:eastAsia="Calibri Light" w:cstheme="minorHAnsi"/>
          <w:color w:val="000000" w:themeColor="text1"/>
          <w:lang w:val="en-US"/>
        </w:rPr>
        <w:t xml:space="preserve">the </w:t>
      </w:r>
      <w:r w:rsidRPr="00445357">
        <w:rPr>
          <w:rFonts w:eastAsia="Calibri Light" w:cstheme="minorHAnsi"/>
          <w:color w:val="000000" w:themeColor="text1"/>
          <w:lang w:val="en-US"/>
        </w:rPr>
        <w:t>inhibiti</w:t>
      </w:r>
      <w:r>
        <w:rPr>
          <w:rFonts w:eastAsia="Calibri Light" w:cstheme="minorHAnsi"/>
          <w:color w:val="000000" w:themeColor="text1"/>
          <w:lang w:val="en-US"/>
        </w:rPr>
        <w:t>o</w:t>
      </w:r>
      <w:r w:rsidRPr="00445357">
        <w:rPr>
          <w:rFonts w:eastAsia="Calibri Light" w:cstheme="minorHAnsi"/>
          <w:color w:val="000000" w:themeColor="text1"/>
          <w:lang w:val="en-US"/>
        </w:rPr>
        <w:t>n</w:t>
      </w:r>
      <w:r>
        <w:rPr>
          <w:rFonts w:eastAsia="Calibri Light" w:cstheme="minorHAnsi"/>
          <w:color w:val="000000" w:themeColor="text1"/>
          <w:lang w:val="en-US"/>
        </w:rPr>
        <w:t xml:space="preserve"> of</w:t>
      </w:r>
      <w:r w:rsidRPr="00445357">
        <w:rPr>
          <w:rFonts w:eastAsia="Calibri Light" w:cstheme="minorHAnsi"/>
          <w:color w:val="000000" w:themeColor="text1"/>
          <w:lang w:val="en-US"/>
        </w:rPr>
        <w:t xml:space="preserve"> the C5 protein emerged as a significant therapeutic target,</w:t>
      </w:r>
      <w:r>
        <w:rPr>
          <w:rFonts w:eastAsia="Calibri Light" w:cstheme="minorHAnsi"/>
          <w:color w:val="000000" w:themeColor="text1"/>
          <w:lang w:val="en-US"/>
        </w:rPr>
        <w:t xml:space="preserve"> even</w:t>
      </w:r>
      <w:r w:rsidRPr="00445357">
        <w:rPr>
          <w:rFonts w:eastAsia="Calibri Light" w:cstheme="minorHAnsi"/>
          <w:color w:val="000000" w:themeColor="text1"/>
          <w:lang w:val="en-US"/>
        </w:rPr>
        <w:t xml:space="preserve"> preferable to inhibiting other upstream components in the complement pathway like C3, which are associated with major side effects</w:t>
      </w:r>
      <w:r>
        <w:rPr>
          <w:rFonts w:eastAsia="Calibri Light" w:cstheme="minorHAnsi"/>
          <w:color w:val="000000" w:themeColor="text1"/>
          <w:lang w:val="en-US"/>
        </w:rPr>
        <w:t>.</w:t>
      </w:r>
      <w:r w:rsidR="007A3887">
        <w:rPr>
          <w:rFonts w:eastAsia="Calibri Light" w:cstheme="minorHAnsi"/>
          <w:color w:val="000000" w:themeColor="text1"/>
          <w:lang w:val="en-US"/>
        </w:rPr>
        <w:t xml:space="preserve"> [41]</w:t>
      </w:r>
    </w:p>
    <w:p w14:paraId="7CB6510A" w14:textId="77777777" w:rsidR="00E0319A" w:rsidRDefault="00E0319A" w:rsidP="00E0319A">
      <w:pPr>
        <w:spacing w:after="0" w:line="276" w:lineRule="auto"/>
        <w:jc w:val="both"/>
        <w:rPr>
          <w:lang w:val="en-US"/>
        </w:rPr>
      </w:pPr>
      <w:r>
        <w:rPr>
          <w:rFonts w:eastAsia="Calibri Light" w:cstheme="minorHAnsi"/>
          <w:color w:val="000000" w:themeColor="text1"/>
          <w:lang w:val="en-US"/>
        </w:rPr>
        <w:t xml:space="preserve">Another innovative pharmacological approach consists in </w:t>
      </w:r>
      <w:r w:rsidRPr="00D748A6">
        <w:rPr>
          <w:rFonts w:eastAsia="Calibri Light" w:cstheme="minorHAnsi"/>
          <w:color w:val="212121"/>
          <w:lang w:val="en-US"/>
        </w:rPr>
        <w:t xml:space="preserve">depleting circulating </w:t>
      </w:r>
      <w:proofErr w:type="spellStart"/>
      <w:r>
        <w:rPr>
          <w:rFonts w:eastAsia="Calibri Light" w:cstheme="minorHAnsi"/>
          <w:color w:val="212121"/>
          <w:lang w:val="en-US"/>
        </w:rPr>
        <w:t>AchR</w:t>
      </w:r>
      <w:proofErr w:type="spellEnd"/>
      <w:r>
        <w:rPr>
          <w:rFonts w:eastAsia="Calibri Light" w:cstheme="minorHAnsi"/>
          <w:color w:val="212121"/>
          <w:lang w:val="en-US"/>
        </w:rPr>
        <w:t xml:space="preserve"> </w:t>
      </w:r>
      <w:r w:rsidRPr="00D748A6">
        <w:rPr>
          <w:rFonts w:eastAsia="Calibri Light" w:cstheme="minorHAnsi"/>
          <w:color w:val="212121"/>
          <w:lang w:val="en-US"/>
        </w:rPr>
        <w:t>IgG antibodies</w:t>
      </w:r>
      <w:r>
        <w:rPr>
          <w:rFonts w:eastAsia="Calibri Light" w:cstheme="minorHAnsi"/>
          <w:color w:val="000000" w:themeColor="text1"/>
          <w:lang w:val="en-US"/>
        </w:rPr>
        <w:t xml:space="preserve"> by targeting t</w:t>
      </w:r>
      <w:r w:rsidRPr="003546F8">
        <w:rPr>
          <w:lang w:val="en-US"/>
        </w:rPr>
        <w:t>he</w:t>
      </w:r>
      <w:r>
        <w:rPr>
          <w:lang w:val="en-US"/>
        </w:rPr>
        <w:t>ir</w:t>
      </w:r>
      <w:r w:rsidRPr="003546F8">
        <w:rPr>
          <w:lang w:val="en-US"/>
        </w:rPr>
        <w:t xml:space="preserve"> </w:t>
      </w:r>
      <w:bookmarkStart w:id="9" w:name="_Hlk150786296"/>
      <w:r w:rsidRPr="003546F8">
        <w:rPr>
          <w:lang w:val="en-US"/>
        </w:rPr>
        <w:t>Fc fragment</w:t>
      </w:r>
      <w:bookmarkEnd w:id="9"/>
      <w:r w:rsidRPr="003546F8">
        <w:rPr>
          <w:lang w:val="en-US"/>
        </w:rPr>
        <w:t xml:space="preserve">. Specifically, the neonatal Fc receptor (FcRn) protects </w:t>
      </w:r>
      <w:proofErr w:type="spellStart"/>
      <w:r w:rsidRPr="003546F8">
        <w:rPr>
          <w:lang w:val="en-US"/>
        </w:rPr>
        <w:t>IgGs</w:t>
      </w:r>
      <w:proofErr w:type="spellEnd"/>
      <w:r w:rsidRPr="003546F8">
        <w:rPr>
          <w:lang w:val="en-US"/>
        </w:rPr>
        <w:t xml:space="preserve"> from lysosomal degradation, and</w:t>
      </w:r>
      <w:r>
        <w:rPr>
          <w:lang w:val="en-US"/>
        </w:rPr>
        <w:t xml:space="preserve"> its blockade</w:t>
      </w:r>
      <w:r w:rsidRPr="003546F8">
        <w:rPr>
          <w:lang w:val="en-US"/>
        </w:rPr>
        <w:t xml:space="preserve"> significant</w:t>
      </w:r>
      <w:r>
        <w:rPr>
          <w:lang w:val="en-US"/>
        </w:rPr>
        <w:t>ly</w:t>
      </w:r>
      <w:r w:rsidRPr="003546F8">
        <w:rPr>
          <w:lang w:val="en-US"/>
        </w:rPr>
        <w:t xml:space="preserve"> reduc</w:t>
      </w:r>
      <w:r>
        <w:rPr>
          <w:lang w:val="en-US"/>
        </w:rPr>
        <w:t>es</w:t>
      </w:r>
      <w:r w:rsidRPr="003546F8">
        <w:rPr>
          <w:lang w:val="en-US"/>
        </w:rPr>
        <w:t xml:space="preserve"> the recycling of circulating </w:t>
      </w:r>
      <w:proofErr w:type="spellStart"/>
      <w:r w:rsidRPr="003546F8">
        <w:rPr>
          <w:lang w:val="en-US"/>
        </w:rPr>
        <w:t>IgGs</w:t>
      </w:r>
      <w:proofErr w:type="spellEnd"/>
      <w:r w:rsidRPr="003546F8">
        <w:rPr>
          <w:lang w:val="en-US"/>
        </w:rPr>
        <w:t>.</w:t>
      </w:r>
      <w:r>
        <w:rPr>
          <w:lang w:val="en-US"/>
        </w:rPr>
        <w:t xml:space="preserve"> </w:t>
      </w:r>
      <w:r w:rsidRPr="0068041C">
        <w:rPr>
          <w:lang w:val="en-US"/>
        </w:rPr>
        <w:t>The identification of the complement cascade and the FcRn receptor as potential new targets for MG therapy was also facilitated by preclinical research involving</w:t>
      </w:r>
      <w:r>
        <w:rPr>
          <w:lang w:val="en-US"/>
        </w:rPr>
        <w:t xml:space="preserve"> both</w:t>
      </w:r>
      <w:r w:rsidRPr="0068041C">
        <w:rPr>
          <w:lang w:val="en-US"/>
        </w:rPr>
        <w:t xml:space="preserve"> </w:t>
      </w:r>
      <w:r w:rsidRPr="00DD3418">
        <w:rPr>
          <w:i/>
          <w:iCs/>
          <w:lang w:val="en-US"/>
        </w:rPr>
        <w:t>in vitro</w:t>
      </w:r>
      <w:r w:rsidRPr="0068041C">
        <w:rPr>
          <w:lang w:val="en-US"/>
        </w:rPr>
        <w:t xml:space="preserve"> studies and animal models, clarifying the significance of </w:t>
      </w:r>
      <w:r>
        <w:rPr>
          <w:lang w:val="en-US"/>
        </w:rPr>
        <w:t xml:space="preserve">still </w:t>
      </w:r>
      <w:r w:rsidRPr="0068041C">
        <w:rPr>
          <w:lang w:val="en-US"/>
        </w:rPr>
        <w:t xml:space="preserve">poorly understood pathogenic mechanisms underlying </w:t>
      </w:r>
      <w:r>
        <w:rPr>
          <w:lang w:val="en-US"/>
        </w:rPr>
        <w:t>MG</w:t>
      </w:r>
      <w:r w:rsidRPr="0068041C">
        <w:rPr>
          <w:lang w:val="en-US"/>
        </w:rPr>
        <w:t>.</w:t>
      </w:r>
    </w:p>
    <w:p w14:paraId="794FE497" w14:textId="77777777" w:rsidR="00E0319A" w:rsidRDefault="00E0319A" w:rsidP="00E0319A">
      <w:pPr>
        <w:spacing w:after="0" w:line="276" w:lineRule="auto"/>
        <w:jc w:val="both"/>
        <w:rPr>
          <w:lang w:val="en-US"/>
        </w:rPr>
      </w:pPr>
      <w:r>
        <w:rPr>
          <w:lang w:val="en-US"/>
        </w:rPr>
        <w:t xml:space="preserve">Novel drugs approved by both the FDA and the EMA for the treatment of </w:t>
      </w:r>
      <w:proofErr w:type="spellStart"/>
      <w:r>
        <w:rPr>
          <w:lang w:val="en-US"/>
        </w:rPr>
        <w:t>gMG</w:t>
      </w:r>
      <w:proofErr w:type="spellEnd"/>
      <w:r>
        <w:rPr>
          <w:lang w:val="en-US"/>
        </w:rPr>
        <w:t xml:space="preserve"> include the </w:t>
      </w:r>
      <w:r w:rsidRPr="005D3DD6">
        <w:rPr>
          <w:lang w:val="en-US"/>
        </w:rPr>
        <w:t>inhibitor</w:t>
      </w:r>
      <w:r>
        <w:rPr>
          <w:lang w:val="en-US"/>
        </w:rPr>
        <w:t>s</w:t>
      </w:r>
      <w:r w:rsidRPr="005D3DD6">
        <w:rPr>
          <w:lang w:val="en-US"/>
        </w:rPr>
        <w:t xml:space="preserve"> of </w:t>
      </w:r>
      <w:r>
        <w:rPr>
          <w:lang w:val="en-US"/>
        </w:rPr>
        <w:t xml:space="preserve">the </w:t>
      </w:r>
      <w:r w:rsidRPr="005D3DD6">
        <w:rPr>
          <w:lang w:val="en-US"/>
        </w:rPr>
        <w:t>complement protein C5</w:t>
      </w:r>
      <w:r>
        <w:rPr>
          <w:lang w:val="en-US"/>
        </w:rPr>
        <w:t xml:space="preserve"> eculizumab, </w:t>
      </w:r>
      <w:proofErr w:type="spellStart"/>
      <w:r>
        <w:rPr>
          <w:lang w:val="en-US"/>
        </w:rPr>
        <w:t>ravulizumab</w:t>
      </w:r>
      <w:proofErr w:type="spellEnd"/>
      <w:r>
        <w:rPr>
          <w:lang w:val="en-US"/>
        </w:rPr>
        <w:t xml:space="preserve">, and </w:t>
      </w:r>
      <w:proofErr w:type="spellStart"/>
      <w:r>
        <w:rPr>
          <w:lang w:val="en-US"/>
        </w:rPr>
        <w:t>zilucoplan</w:t>
      </w:r>
      <w:proofErr w:type="spellEnd"/>
      <w:r>
        <w:rPr>
          <w:lang w:val="en-US"/>
        </w:rPr>
        <w:t xml:space="preserve">, and the </w:t>
      </w:r>
      <w:r w:rsidRPr="005D3DD6">
        <w:rPr>
          <w:lang w:val="en-US"/>
        </w:rPr>
        <w:t>FcRn receptor antagonist</w:t>
      </w:r>
      <w:r>
        <w:rPr>
          <w:lang w:val="en-US"/>
        </w:rPr>
        <w:t xml:space="preserve">s efgartigimod and </w:t>
      </w:r>
      <w:proofErr w:type="spellStart"/>
      <w:r>
        <w:rPr>
          <w:lang w:val="en-US"/>
        </w:rPr>
        <w:t>rozanolixizumab</w:t>
      </w:r>
      <w:proofErr w:type="spellEnd"/>
      <w:r>
        <w:rPr>
          <w:lang w:val="en-US"/>
        </w:rPr>
        <w:t xml:space="preserve">. Although these drugs were proved to be effective and well tolerated in pivotal clinical trials, real-world evidence (RWE) concerning their effectiveness and safety in routine clinical practice is still sparse, thus highlighting the need to conduct post-marketing surveillance studies. </w:t>
      </w:r>
    </w:p>
    <w:p w14:paraId="09016DB8" w14:textId="77777777" w:rsidR="00E0319A" w:rsidRPr="005D3DD6" w:rsidRDefault="00E0319A" w:rsidP="00E0319A">
      <w:pPr>
        <w:spacing w:after="0" w:line="276" w:lineRule="auto"/>
        <w:jc w:val="both"/>
        <w:rPr>
          <w:lang w:val="en-US"/>
        </w:rPr>
      </w:pPr>
    </w:p>
    <w:p w14:paraId="16DADEDF" w14:textId="77777777" w:rsidR="00E0319A" w:rsidRPr="00E0319A" w:rsidRDefault="00E0319A" w:rsidP="00E0319A">
      <w:pPr>
        <w:pStyle w:val="Paragrafoelenco"/>
        <w:numPr>
          <w:ilvl w:val="1"/>
          <w:numId w:val="6"/>
        </w:numPr>
        <w:spacing w:after="0" w:line="276" w:lineRule="auto"/>
        <w:jc w:val="both"/>
        <w:rPr>
          <w:b/>
          <w:bCs/>
          <w:lang w:val="en-US"/>
        </w:rPr>
      </w:pPr>
      <w:r w:rsidRPr="00E0319A">
        <w:rPr>
          <w:b/>
          <w:bCs/>
          <w:lang w:val="en-US"/>
        </w:rPr>
        <w:t>Eculizumab</w:t>
      </w:r>
    </w:p>
    <w:p w14:paraId="65A4DF3C" w14:textId="2A36898D" w:rsidR="00E0319A" w:rsidRPr="001D5A83" w:rsidRDefault="00E0319A" w:rsidP="00E0319A">
      <w:pPr>
        <w:spacing w:after="0" w:line="276" w:lineRule="auto"/>
        <w:jc w:val="both"/>
        <w:rPr>
          <w:lang w:val="en-US"/>
        </w:rPr>
      </w:pPr>
      <w:r w:rsidRPr="001D5A83">
        <w:rPr>
          <w:lang w:val="en-US"/>
        </w:rPr>
        <w:t xml:space="preserve">To develop potent C5 complement component inhibitors, panels of murine monoclonal antibodies against human C5 were generated and screened </w:t>
      </w:r>
      <w:r w:rsidRPr="00E0319A">
        <w:rPr>
          <w:i/>
          <w:iCs/>
          <w:lang w:val="en-US"/>
        </w:rPr>
        <w:t>in vitro</w:t>
      </w:r>
      <w:r w:rsidRPr="001D5A83">
        <w:rPr>
          <w:lang w:val="en-US"/>
        </w:rPr>
        <w:t xml:space="preserve"> for their ability to inhibit the human terminal complement complex in a standard hemolytic test. Among approximately 30,000 candidates, eculizumab, a murine monoclonal antibody 5G1.1, was identified and subsequently humanized to reduce potential immunogenicity.</w:t>
      </w:r>
      <w:r w:rsidR="006D7AF5">
        <w:rPr>
          <w:lang w:val="en-US"/>
        </w:rPr>
        <w:t xml:space="preserve"> [42,43]</w:t>
      </w:r>
      <w:r w:rsidRPr="001D5A83">
        <w:rPr>
          <w:lang w:val="en-US"/>
        </w:rPr>
        <w:t xml:space="preserve"> Eculizumab's activity against human C5 is highly species-specific, with minimal activity against C5 in any other primate or mammal, </w:t>
      </w:r>
      <w:r>
        <w:rPr>
          <w:lang w:val="en-US"/>
        </w:rPr>
        <w:t>halting</w:t>
      </w:r>
      <w:r w:rsidRPr="001D5A83">
        <w:rPr>
          <w:lang w:val="en-US"/>
        </w:rPr>
        <w:t xml:space="preserve"> the conduction of preclinical studies in animal models.</w:t>
      </w:r>
      <w:r w:rsidR="006D7AF5">
        <w:rPr>
          <w:lang w:val="en-US"/>
        </w:rPr>
        <w:t xml:space="preserve"> [44]</w:t>
      </w:r>
      <w:r w:rsidR="00EC5657">
        <w:rPr>
          <w:lang w:val="en-US"/>
        </w:rPr>
        <w:t xml:space="preserve"> </w:t>
      </w:r>
      <w:r w:rsidRPr="001D5A83">
        <w:rPr>
          <w:lang w:val="en-US"/>
        </w:rPr>
        <w:t xml:space="preserve">Thus, </w:t>
      </w:r>
      <w:r w:rsidRPr="00E0319A">
        <w:rPr>
          <w:i/>
          <w:iCs/>
          <w:lang w:val="en-US"/>
        </w:rPr>
        <w:t>in vivo</w:t>
      </w:r>
      <w:r w:rsidRPr="001D5A83">
        <w:rPr>
          <w:lang w:val="en-US"/>
        </w:rPr>
        <w:t xml:space="preserve"> pharmacological activity was evaluated using specific surrogate antibodies against the murine C5 protein in preclinical EAMG models, yielding promising results. Anti-C5 antibodies were able to prevent disease development when administered before induction and to significantly reduce immune response biomarkers and symptoms (asthenia) in already induced animals</w:t>
      </w:r>
      <w:r w:rsidR="006D7AF5">
        <w:rPr>
          <w:lang w:val="en-US"/>
        </w:rPr>
        <w:t xml:space="preserve"> [45,46]</w:t>
      </w:r>
      <w:r>
        <w:rPr>
          <w:lang w:val="en-US"/>
        </w:rPr>
        <w:t xml:space="preserve"> (</w:t>
      </w:r>
      <w:r w:rsidRPr="00E0319A">
        <w:rPr>
          <w:b/>
          <w:bCs/>
          <w:lang w:val="en-US"/>
        </w:rPr>
        <w:t>Table 2</w:t>
      </w:r>
      <w:r>
        <w:rPr>
          <w:lang w:val="en-US"/>
        </w:rPr>
        <w:t>).</w:t>
      </w:r>
    </w:p>
    <w:p w14:paraId="0114F2EB" w14:textId="5C529852" w:rsidR="00E0319A" w:rsidRPr="001C6B3F" w:rsidRDefault="00E0319A" w:rsidP="00E0319A">
      <w:pPr>
        <w:spacing w:after="0" w:line="276" w:lineRule="auto"/>
        <w:jc w:val="both"/>
        <w:rPr>
          <w:lang w:val="en-US"/>
        </w:rPr>
      </w:pPr>
      <w:r w:rsidRPr="001D5A83">
        <w:rPr>
          <w:lang w:val="en-US"/>
        </w:rPr>
        <w:t xml:space="preserve">Toxicology studies on eculizumab have been conducted in mice using the surrogate antibody BB5.1, testing doses up to 60 mg/kg/week. No adverse effects were observed in chronic toxicity </w:t>
      </w:r>
      <w:r>
        <w:rPr>
          <w:lang w:val="en-US"/>
        </w:rPr>
        <w:t>and</w:t>
      </w:r>
      <w:r w:rsidRPr="001D5A83">
        <w:rPr>
          <w:lang w:val="en-US"/>
        </w:rPr>
        <w:t xml:space="preserve"> fertility studies up to 6 months. However, studies on animal development showed mild effects at doses of 60 mg/kg per week. These studies paved the way for clinical trials </w:t>
      </w:r>
      <w:r>
        <w:rPr>
          <w:lang w:val="en-US"/>
        </w:rPr>
        <w:t xml:space="preserve">leading </w:t>
      </w:r>
      <w:r w:rsidRPr="001D5A83">
        <w:rPr>
          <w:lang w:val="en-US"/>
        </w:rPr>
        <w:t>to eculizumab's approval in 2014 as the first orphan drug for MG therapy.</w:t>
      </w:r>
      <w:r w:rsidR="006D7AF5">
        <w:rPr>
          <w:lang w:val="en-US"/>
        </w:rPr>
        <w:t xml:space="preserve"> [47]</w:t>
      </w:r>
      <w:r w:rsidRPr="001D5A83">
        <w:rPr>
          <w:lang w:val="en-US"/>
        </w:rPr>
        <w:t xml:space="preserve"> </w:t>
      </w:r>
      <w:r>
        <w:rPr>
          <w:rFonts w:eastAsia="Calibri Light" w:cstheme="minorHAnsi"/>
          <w:color w:val="212121"/>
          <w:lang w:val="en-US"/>
        </w:rPr>
        <w:t>Due to its mechanism of action, eculizumab may lead to an increased incidence of meningococcal disease, thus requiring that patients receive polyvalent vaccination before starting treatment.</w:t>
      </w:r>
      <w:r w:rsidR="006D7AF5">
        <w:rPr>
          <w:rFonts w:eastAsia="Calibri Light" w:cstheme="minorHAnsi"/>
          <w:color w:val="212121"/>
          <w:lang w:val="en-US"/>
        </w:rPr>
        <w:t xml:space="preserve"> [48]</w:t>
      </w:r>
    </w:p>
    <w:p w14:paraId="1BB7C6FD" w14:textId="1CAFF845" w:rsidR="00E0319A" w:rsidRDefault="00E0319A" w:rsidP="00E0319A">
      <w:pPr>
        <w:spacing w:after="0" w:line="276" w:lineRule="auto"/>
        <w:jc w:val="both"/>
        <w:rPr>
          <w:lang w:val="en-US"/>
        </w:rPr>
      </w:pPr>
      <w:r w:rsidRPr="003546F8">
        <w:rPr>
          <w:lang w:val="en-US"/>
        </w:rPr>
        <w:t xml:space="preserve">Initially approved in 2007 for the treatment of paroxysmal nocturnal hemoglobinuria, eculizumab </w:t>
      </w:r>
      <w:r>
        <w:rPr>
          <w:lang w:val="en-US"/>
        </w:rPr>
        <w:t xml:space="preserve">is an orphan drug </w:t>
      </w:r>
      <w:r w:rsidRPr="007D7DAF">
        <w:rPr>
          <w:rFonts w:eastAsia="Calibri Light" w:cstheme="minorHAnsi"/>
          <w:color w:val="212121"/>
          <w:lang w:val="en-US"/>
        </w:rPr>
        <w:t>authorized</w:t>
      </w:r>
      <w:r>
        <w:rPr>
          <w:rFonts w:eastAsia="Calibri Light" w:cstheme="minorHAnsi"/>
          <w:color w:val="212121"/>
          <w:lang w:val="en-US"/>
        </w:rPr>
        <w:t xml:space="preserve"> in 2017</w:t>
      </w:r>
      <w:r w:rsidRPr="007D7DAF">
        <w:rPr>
          <w:rFonts w:eastAsia="Calibri Light" w:cstheme="minorHAnsi"/>
          <w:color w:val="212121"/>
          <w:lang w:val="en-US"/>
        </w:rPr>
        <w:t xml:space="preserve"> by the European Medicines Agency (EMA) through accelerated assessment for the treatment of adult patients with refractory </w:t>
      </w:r>
      <w:proofErr w:type="spellStart"/>
      <w:r w:rsidRPr="007D7DAF">
        <w:rPr>
          <w:rFonts w:eastAsia="Calibri Light" w:cstheme="minorHAnsi"/>
          <w:color w:val="212121"/>
          <w:lang w:val="en-US"/>
        </w:rPr>
        <w:t>gMG</w:t>
      </w:r>
      <w:proofErr w:type="spellEnd"/>
      <w:r w:rsidRPr="007D7DAF">
        <w:rPr>
          <w:rFonts w:eastAsia="Calibri Light" w:cstheme="minorHAnsi"/>
          <w:color w:val="212121"/>
          <w:lang w:val="en-US"/>
        </w:rPr>
        <w:t xml:space="preserve"> who are positive for </w:t>
      </w:r>
      <w:proofErr w:type="spellStart"/>
      <w:r w:rsidRPr="007D7DAF">
        <w:rPr>
          <w:rFonts w:eastAsia="Calibri Light" w:cstheme="minorHAnsi"/>
          <w:color w:val="212121"/>
          <w:lang w:val="en-US"/>
        </w:rPr>
        <w:t>AChR</w:t>
      </w:r>
      <w:proofErr w:type="spellEnd"/>
      <w:r w:rsidRPr="007D7DAF">
        <w:rPr>
          <w:rFonts w:eastAsia="Calibri Light" w:cstheme="minorHAnsi"/>
          <w:color w:val="212121"/>
          <w:lang w:val="en-US"/>
        </w:rPr>
        <w:t xml:space="preserve"> antibodies</w:t>
      </w:r>
      <w:r>
        <w:rPr>
          <w:lang w:val="en-US"/>
        </w:rPr>
        <w:t>,</w:t>
      </w:r>
      <w:r w:rsidRPr="003546F8">
        <w:rPr>
          <w:lang w:val="en-US"/>
        </w:rPr>
        <w:t xml:space="preserve"> based on positive results from a large phase III clinical trial (REGAIN).</w:t>
      </w:r>
      <w:r w:rsidR="006D7AF5">
        <w:rPr>
          <w:lang w:val="en-US"/>
        </w:rPr>
        <w:t xml:space="preserve"> [49]</w:t>
      </w:r>
    </w:p>
    <w:p w14:paraId="7459926D" w14:textId="5B2BC628" w:rsidR="00E0319A" w:rsidRPr="007D7DAF" w:rsidRDefault="00E0319A" w:rsidP="00E0319A">
      <w:pPr>
        <w:spacing w:after="0" w:line="276" w:lineRule="auto"/>
        <w:jc w:val="both"/>
        <w:rPr>
          <w:rFonts w:eastAsia="Calibri Light" w:cstheme="minorHAnsi"/>
          <w:color w:val="212121"/>
          <w:lang w:val="en-US"/>
        </w:rPr>
      </w:pPr>
      <w:r w:rsidRPr="007D7DAF">
        <w:rPr>
          <w:rFonts w:eastAsia="Calibri Light" w:cstheme="minorHAnsi"/>
          <w:color w:val="212121"/>
          <w:lang w:val="en-US"/>
        </w:rPr>
        <w:t xml:space="preserve">The </w:t>
      </w:r>
      <w:r>
        <w:rPr>
          <w:rFonts w:eastAsia="Calibri Light" w:cstheme="minorHAnsi"/>
          <w:color w:val="212121"/>
          <w:lang w:val="en-US"/>
        </w:rPr>
        <w:t xml:space="preserve">clinical </w:t>
      </w:r>
      <w:r w:rsidRPr="007D7DAF">
        <w:rPr>
          <w:rFonts w:eastAsia="Calibri Light" w:cstheme="minorHAnsi"/>
          <w:color w:val="212121"/>
          <w:lang w:val="en-US"/>
        </w:rPr>
        <w:t xml:space="preserve">efficacy of this drug was demonstrated in the pivotal REGAIN study (NCT01997229), a randomized controlled phase III clinical trial conducted on 125 patients aged ≥ 18 years with a total score on the MG-ADL scale ≥ 6 and who had not positively responded to at least two immunosuppressive therapies or to one </w:t>
      </w:r>
      <w:r w:rsidRPr="007D7DAF">
        <w:rPr>
          <w:rFonts w:eastAsia="Calibri Light" w:cstheme="minorHAnsi"/>
          <w:color w:val="212121"/>
          <w:lang w:val="en-US"/>
        </w:rPr>
        <w:lastRenderedPageBreak/>
        <w:t>immunosuppressive therapy plus intravenous immunoglobulins or plasma exchange in the last year.</w:t>
      </w:r>
      <w:r w:rsidR="006D7AF5">
        <w:rPr>
          <w:rFonts w:eastAsia="Calibri Light" w:cstheme="minorHAnsi"/>
          <w:color w:val="212121"/>
          <w:lang w:val="en-US"/>
        </w:rPr>
        <w:t xml:space="preserve"> [49]</w:t>
      </w:r>
      <w:r>
        <w:rPr>
          <w:rFonts w:eastAsia="Calibri Light" w:cstheme="minorHAnsi"/>
          <w:color w:val="212121"/>
          <w:lang w:val="en-US"/>
        </w:rPr>
        <w:t xml:space="preserve"> E</w:t>
      </w:r>
      <w:r w:rsidRPr="007D7DAF">
        <w:rPr>
          <w:rFonts w:eastAsia="Calibri Light" w:cstheme="minorHAnsi"/>
          <w:color w:val="212121"/>
          <w:lang w:val="en-US"/>
        </w:rPr>
        <w:t xml:space="preserve">nrolled patients were randomized to receive intravenous eculizumab treatment (N=62 patients) or placebo (N=63 patients) for 26 weeks. The </w:t>
      </w:r>
      <w:r>
        <w:rPr>
          <w:rFonts w:eastAsia="Calibri Light" w:cstheme="minorHAnsi"/>
          <w:color w:val="212121"/>
          <w:lang w:val="en-US"/>
        </w:rPr>
        <w:t xml:space="preserve">study’s </w:t>
      </w:r>
      <w:r w:rsidRPr="007D7DAF">
        <w:rPr>
          <w:rFonts w:eastAsia="Calibri Light" w:cstheme="minorHAnsi"/>
          <w:color w:val="212121"/>
          <w:lang w:val="en-US"/>
        </w:rPr>
        <w:t xml:space="preserve">primary endpoint was the change from baseline in the total MG-ADL scale score at week 26, while secondary endpoints included changes in the QMG, MGC, and MG-QOL15 scale scores at week 26. </w:t>
      </w:r>
      <w:r>
        <w:rPr>
          <w:rFonts w:eastAsia="Calibri Light" w:cstheme="minorHAnsi"/>
          <w:color w:val="212121"/>
          <w:lang w:val="en-US"/>
        </w:rPr>
        <w:t xml:space="preserve">Overall, 118 patients completed the study. </w:t>
      </w:r>
      <w:r w:rsidRPr="007D7DAF">
        <w:rPr>
          <w:rFonts w:eastAsia="Calibri Light" w:cstheme="minorHAnsi"/>
          <w:color w:val="212121"/>
          <w:lang w:val="en-US"/>
        </w:rPr>
        <w:t>Regarding the primary endpoint, the analysis did not reveal significant differences between eculizumab and placebo. However, sensitivity analyses, including periodic measurements of MG-ADL, QMG, MGC, and MG-QOL15 scores during the follow-up period, showed a statistically significant positive effect</w:t>
      </w:r>
      <w:r>
        <w:rPr>
          <w:rFonts w:eastAsia="Calibri Light" w:cstheme="minorHAnsi"/>
          <w:color w:val="212121"/>
          <w:lang w:val="en-US"/>
        </w:rPr>
        <w:t xml:space="preserve"> for eculizumab</w:t>
      </w:r>
      <w:r w:rsidRPr="007D7DAF">
        <w:rPr>
          <w:rFonts w:eastAsia="Calibri Light" w:cstheme="minorHAnsi"/>
          <w:color w:val="212121"/>
          <w:lang w:val="en-US"/>
        </w:rPr>
        <w:t>.</w:t>
      </w:r>
    </w:p>
    <w:p w14:paraId="2B5365FC" w14:textId="616E4321" w:rsidR="00E0319A" w:rsidRDefault="00E0319A" w:rsidP="00E0319A">
      <w:pPr>
        <w:spacing w:after="0" w:line="276" w:lineRule="auto"/>
        <w:jc w:val="both"/>
        <w:rPr>
          <w:rFonts w:eastAsia="Calibri Light" w:cstheme="minorHAnsi"/>
          <w:color w:val="212121"/>
          <w:lang w:val="en-US"/>
        </w:rPr>
      </w:pPr>
      <w:r>
        <w:rPr>
          <w:rFonts w:eastAsia="Calibri Light" w:cstheme="minorHAnsi"/>
          <w:color w:val="212121"/>
          <w:lang w:val="en-US"/>
        </w:rPr>
        <w:t>117</w:t>
      </w:r>
      <w:r w:rsidRPr="00031082">
        <w:rPr>
          <w:rFonts w:eastAsia="Calibri Light" w:cstheme="minorHAnsi"/>
          <w:color w:val="212121"/>
          <w:lang w:val="en-US"/>
        </w:rPr>
        <w:t xml:space="preserve"> out of the 125 patients enrolled in the REGAIN trial were subsequently included in a long-term extension study (ECU-MG-302</w:t>
      </w:r>
      <w:r>
        <w:rPr>
          <w:rFonts w:eastAsia="Calibri Light" w:cstheme="minorHAnsi"/>
          <w:color w:val="212121"/>
          <w:lang w:val="en-US"/>
        </w:rPr>
        <w:t xml:space="preserve"> study</w:t>
      </w:r>
      <w:r w:rsidRPr="00031082">
        <w:rPr>
          <w:rFonts w:eastAsia="Calibri Light" w:cstheme="minorHAnsi"/>
          <w:color w:val="212121"/>
          <w:lang w:val="en-US"/>
        </w:rPr>
        <w:t>; NCT02301624), in which all patients received eculizumab.</w:t>
      </w:r>
      <w:r w:rsidR="006D7AF5">
        <w:rPr>
          <w:rFonts w:eastAsia="Calibri Light" w:cstheme="minorHAnsi"/>
          <w:color w:val="212121"/>
          <w:lang w:val="en-US"/>
        </w:rPr>
        <w:t xml:space="preserve"> [50]</w:t>
      </w:r>
      <w:r w:rsidRPr="00031082">
        <w:rPr>
          <w:rFonts w:eastAsia="Calibri Light" w:cstheme="minorHAnsi"/>
          <w:color w:val="212121"/>
          <w:lang w:val="en-US"/>
        </w:rPr>
        <w:t xml:space="preserve"> Patients previously treated with eculizumab in the REGAIN trial continued to show beneficial effects for all endpoints over an additional 130 weeks of eculizumab treatment. Similarly, clinical improvement was also observed in patients previously treated with placebo</w:t>
      </w:r>
      <w:r>
        <w:rPr>
          <w:rFonts w:eastAsia="Calibri Light" w:cstheme="minorHAnsi"/>
          <w:color w:val="212121"/>
          <w:lang w:val="en-US"/>
        </w:rPr>
        <w:t xml:space="preserve"> and switched to eculizumab</w:t>
      </w:r>
      <w:r w:rsidRPr="00031082">
        <w:rPr>
          <w:rFonts w:eastAsia="Calibri Light" w:cstheme="minorHAnsi"/>
          <w:color w:val="212121"/>
          <w:lang w:val="en-US"/>
        </w:rPr>
        <w:t>. In this study, physicians were allowed to adjust baseline immunosuppress</w:t>
      </w:r>
      <w:r>
        <w:rPr>
          <w:rFonts w:eastAsia="Calibri Light" w:cstheme="minorHAnsi"/>
          <w:color w:val="212121"/>
          <w:lang w:val="en-US"/>
        </w:rPr>
        <w:t>ive agents</w:t>
      </w:r>
      <w:r w:rsidRPr="00031082">
        <w:rPr>
          <w:rFonts w:eastAsia="Calibri Light" w:cstheme="minorHAnsi"/>
          <w:color w:val="212121"/>
          <w:lang w:val="en-US"/>
        </w:rPr>
        <w:t xml:space="preserve"> </w:t>
      </w:r>
      <w:r>
        <w:rPr>
          <w:rFonts w:eastAsia="Calibri Light" w:cstheme="minorHAnsi"/>
          <w:color w:val="212121"/>
          <w:lang w:val="en-US"/>
        </w:rPr>
        <w:t>to manage</w:t>
      </w:r>
      <w:r w:rsidRPr="00031082">
        <w:rPr>
          <w:rFonts w:eastAsia="Calibri Light" w:cstheme="minorHAnsi"/>
          <w:color w:val="212121"/>
          <w:lang w:val="en-US"/>
        </w:rPr>
        <w:t xml:space="preserve"> refractory </w:t>
      </w:r>
      <w:proofErr w:type="spellStart"/>
      <w:r>
        <w:rPr>
          <w:rFonts w:eastAsia="Calibri Light" w:cstheme="minorHAnsi"/>
          <w:color w:val="212121"/>
          <w:lang w:val="en-US"/>
        </w:rPr>
        <w:t>g</w:t>
      </w:r>
      <w:r w:rsidRPr="00031082">
        <w:rPr>
          <w:rFonts w:eastAsia="Calibri Light" w:cstheme="minorHAnsi"/>
          <w:color w:val="212121"/>
          <w:lang w:val="en-US"/>
        </w:rPr>
        <w:t>MG</w:t>
      </w:r>
      <w:proofErr w:type="spellEnd"/>
      <w:r w:rsidRPr="00031082">
        <w:rPr>
          <w:rFonts w:eastAsia="Calibri Light" w:cstheme="minorHAnsi"/>
          <w:color w:val="212121"/>
          <w:lang w:val="en-US"/>
        </w:rPr>
        <w:t>. By the end of the study, 72% of patients had discontinued or reduced the daily dosage of at least one immunosuppressive therapy.</w:t>
      </w:r>
      <w:r>
        <w:rPr>
          <w:rFonts w:eastAsia="Calibri Light" w:cstheme="minorHAnsi"/>
          <w:color w:val="212121"/>
          <w:lang w:val="en-US"/>
        </w:rPr>
        <w:t xml:space="preserve"> Overall, eculizumab was well tolerated, with </w:t>
      </w:r>
      <w:r w:rsidRPr="00EB7B85">
        <w:rPr>
          <w:rFonts w:eastAsia="Calibri Light" w:cstheme="minorHAnsi"/>
          <w:color w:val="212121"/>
          <w:lang w:val="en-US"/>
        </w:rPr>
        <w:t xml:space="preserve">headache and upper respiratory tract infection </w:t>
      </w:r>
      <w:r>
        <w:rPr>
          <w:rFonts w:eastAsia="Calibri Light" w:cstheme="minorHAnsi"/>
          <w:color w:val="212121"/>
          <w:lang w:val="en-US"/>
        </w:rPr>
        <w:t>being t</w:t>
      </w:r>
      <w:r w:rsidRPr="00EB7B85">
        <w:rPr>
          <w:rFonts w:eastAsia="Calibri Light" w:cstheme="minorHAnsi"/>
          <w:color w:val="212121"/>
          <w:lang w:val="en-US"/>
        </w:rPr>
        <w:t xml:space="preserve">he most </w:t>
      </w:r>
      <w:r>
        <w:rPr>
          <w:rFonts w:eastAsia="Calibri Light" w:cstheme="minorHAnsi"/>
          <w:color w:val="212121"/>
          <w:lang w:val="en-US"/>
        </w:rPr>
        <w:t>reported</w:t>
      </w:r>
      <w:r w:rsidRPr="00EB7B85">
        <w:rPr>
          <w:rFonts w:eastAsia="Calibri Light" w:cstheme="minorHAnsi"/>
          <w:color w:val="212121"/>
          <w:lang w:val="en-US"/>
        </w:rPr>
        <w:t xml:space="preserve"> adverse</w:t>
      </w:r>
      <w:r>
        <w:rPr>
          <w:rFonts w:eastAsia="Calibri Light" w:cstheme="minorHAnsi"/>
          <w:color w:val="212121"/>
          <w:lang w:val="en-US"/>
        </w:rPr>
        <w:t xml:space="preserve"> </w:t>
      </w:r>
      <w:r w:rsidRPr="00EB7B85">
        <w:rPr>
          <w:rFonts w:eastAsia="Calibri Light" w:cstheme="minorHAnsi"/>
          <w:color w:val="212121"/>
          <w:lang w:val="en-US"/>
        </w:rPr>
        <w:t xml:space="preserve">events in both groups. Myasthenia gravis exacerbations were reported by </w:t>
      </w:r>
      <w:r>
        <w:rPr>
          <w:rFonts w:eastAsia="Calibri Light" w:cstheme="minorHAnsi"/>
          <w:color w:val="212121"/>
          <w:lang w:val="en-US"/>
        </w:rPr>
        <w:t>6</w:t>
      </w:r>
      <w:r w:rsidRPr="00EB7B85">
        <w:rPr>
          <w:rFonts w:eastAsia="Calibri Light" w:cstheme="minorHAnsi"/>
          <w:color w:val="212121"/>
          <w:lang w:val="en-US"/>
        </w:rPr>
        <w:t xml:space="preserve"> (10%) patients</w:t>
      </w:r>
      <w:r>
        <w:rPr>
          <w:rFonts w:eastAsia="Calibri Light" w:cstheme="minorHAnsi"/>
          <w:color w:val="212121"/>
          <w:lang w:val="en-US"/>
        </w:rPr>
        <w:t xml:space="preserve"> </w:t>
      </w:r>
      <w:r w:rsidRPr="00EB7B85">
        <w:rPr>
          <w:rFonts w:eastAsia="Calibri Light" w:cstheme="minorHAnsi"/>
          <w:color w:val="212121"/>
          <w:lang w:val="en-US"/>
        </w:rPr>
        <w:t>in the eculizumab group and 15 (24%) in the placebo group</w:t>
      </w:r>
      <w:r>
        <w:rPr>
          <w:rFonts w:eastAsia="Calibri Light" w:cstheme="minorHAnsi"/>
          <w:color w:val="212121"/>
          <w:lang w:val="en-US"/>
        </w:rPr>
        <w:t>, and no cases of meningococcal infection were reported. Such findings were also confirmed by the</w:t>
      </w:r>
      <w:r w:rsidRPr="00B57A21">
        <w:rPr>
          <w:rFonts w:eastAsia="Calibri Light" w:cstheme="minorHAnsi"/>
          <w:color w:val="212121"/>
          <w:lang w:val="en-US"/>
        </w:rPr>
        <w:t xml:space="preserve"> </w:t>
      </w:r>
      <w:r w:rsidRPr="00F32B9F">
        <w:rPr>
          <w:rFonts w:eastAsia="Calibri Light" w:cstheme="minorHAnsi"/>
          <w:color w:val="212121"/>
          <w:lang w:val="en-US"/>
        </w:rPr>
        <w:t>open-label extension study of the REGAIN</w:t>
      </w:r>
      <w:r>
        <w:rPr>
          <w:rFonts w:eastAsia="Calibri Light" w:cstheme="minorHAnsi"/>
          <w:color w:val="212121"/>
          <w:lang w:val="en-US"/>
        </w:rPr>
        <w:t xml:space="preserve"> trial, which showed that after a median of almost 2 years of treatment, </w:t>
      </w:r>
      <w:r w:rsidRPr="00D12DCE">
        <w:rPr>
          <w:lang w:val="en-US"/>
        </w:rPr>
        <w:t>no cases of meningococcal infection were reported</w:t>
      </w:r>
      <w:r w:rsidRPr="00F32B9F">
        <w:rPr>
          <w:rFonts w:eastAsia="Calibri Light" w:cstheme="minorHAnsi"/>
          <w:color w:val="212121"/>
          <w:lang w:val="en-US"/>
        </w:rPr>
        <w:t>,</w:t>
      </w:r>
      <w:r>
        <w:rPr>
          <w:rFonts w:eastAsia="Calibri Light" w:cstheme="minorHAnsi"/>
          <w:color w:val="212121"/>
          <w:lang w:val="en-US"/>
        </w:rPr>
        <w:t xml:space="preserve"> while t</w:t>
      </w:r>
      <w:r w:rsidRPr="00F32B9F">
        <w:rPr>
          <w:rFonts w:eastAsia="Calibri Light" w:cstheme="minorHAnsi"/>
          <w:color w:val="212121"/>
          <w:lang w:val="en-US"/>
        </w:rPr>
        <w:t>he most</w:t>
      </w:r>
      <w:r>
        <w:rPr>
          <w:rFonts w:eastAsia="Calibri Light" w:cstheme="minorHAnsi"/>
          <w:color w:val="212121"/>
          <w:lang w:val="en-US"/>
        </w:rPr>
        <w:t xml:space="preserve"> </w:t>
      </w:r>
      <w:r w:rsidRPr="00F32B9F">
        <w:rPr>
          <w:rFonts w:eastAsia="Calibri Light" w:cstheme="minorHAnsi"/>
          <w:color w:val="212121"/>
          <w:lang w:val="en-US"/>
        </w:rPr>
        <w:t>common serious adverse event was MG worsening</w:t>
      </w:r>
      <w:r>
        <w:rPr>
          <w:rFonts w:eastAsia="Calibri Light" w:cstheme="minorHAnsi"/>
          <w:color w:val="212121"/>
          <w:lang w:val="en-US"/>
        </w:rPr>
        <w:t>.</w:t>
      </w:r>
      <w:r w:rsidR="006D7AF5">
        <w:rPr>
          <w:rFonts w:eastAsia="Calibri Light" w:cstheme="minorHAnsi"/>
          <w:color w:val="212121"/>
          <w:lang w:val="en-US"/>
        </w:rPr>
        <w:t xml:space="preserve"> [50]</w:t>
      </w:r>
    </w:p>
    <w:p w14:paraId="397C3283" w14:textId="348CFA27" w:rsidR="00E0319A" w:rsidRDefault="00E0319A" w:rsidP="00E0319A">
      <w:pPr>
        <w:spacing w:after="0" w:line="276" w:lineRule="auto"/>
        <w:jc w:val="both"/>
        <w:rPr>
          <w:lang w:val="en-US"/>
        </w:rPr>
      </w:pPr>
      <w:r>
        <w:rPr>
          <w:rFonts w:eastAsia="Calibri Light" w:cstheme="minorHAnsi"/>
          <w:color w:val="212121"/>
          <w:lang w:val="en-US"/>
        </w:rPr>
        <w:t>The effectiveness of eculizumab has been proven by several real-world studies demonstrating that this drug is associated with significant improvements in outcome measures as well as a decrease in concomitant drugs requirement.</w:t>
      </w:r>
      <w:r w:rsidR="00B513DC">
        <w:rPr>
          <w:rFonts w:eastAsia="Calibri Light" w:cstheme="minorHAnsi"/>
          <w:color w:val="212121"/>
          <w:lang w:val="en-US"/>
        </w:rPr>
        <w:t xml:space="preserve"> [51-53]</w:t>
      </w:r>
      <w:r>
        <w:rPr>
          <w:rFonts w:eastAsia="Calibri Light" w:cstheme="minorHAnsi"/>
          <w:color w:val="212121"/>
          <w:lang w:val="en-US"/>
        </w:rPr>
        <w:t xml:space="preserve"> Real-world evidence on the use of eculizumab shows that this drug is well tolerated, as documented by a recent </w:t>
      </w:r>
      <w:r w:rsidRPr="00E0319A">
        <w:rPr>
          <w:lang w:val="en-US"/>
        </w:rPr>
        <w:t>post-marketing surveillance</w:t>
      </w:r>
      <w:r>
        <w:rPr>
          <w:lang w:val="en-US"/>
        </w:rPr>
        <w:t xml:space="preserve"> study conducted in Japan on 40 patients with MG. In particular, after 26 weeks of follow-up, none of the patients experienced meningococcal infections and 80% of patients were continuing therapy.</w:t>
      </w:r>
      <w:r w:rsidR="00B513DC">
        <w:rPr>
          <w:lang w:val="en-US"/>
        </w:rPr>
        <w:t xml:space="preserve"> [52]</w:t>
      </w:r>
    </w:p>
    <w:p w14:paraId="538A0145" w14:textId="77777777" w:rsidR="00E0319A" w:rsidRPr="005655BA" w:rsidRDefault="00E0319A" w:rsidP="00E0319A">
      <w:pPr>
        <w:spacing w:after="0" w:line="276" w:lineRule="auto"/>
        <w:jc w:val="both"/>
        <w:rPr>
          <w:rFonts w:eastAsia="Calibri Light" w:cstheme="minorHAnsi"/>
          <w:color w:val="212121"/>
          <w:lang w:val="en-US"/>
        </w:rPr>
      </w:pPr>
    </w:p>
    <w:p w14:paraId="6AD85046" w14:textId="77777777" w:rsidR="00E0319A" w:rsidRPr="00E0319A" w:rsidRDefault="00E0319A" w:rsidP="00E0319A">
      <w:pPr>
        <w:pStyle w:val="Paragrafoelenco"/>
        <w:numPr>
          <w:ilvl w:val="1"/>
          <w:numId w:val="6"/>
        </w:numPr>
        <w:spacing w:after="0" w:line="276" w:lineRule="auto"/>
        <w:jc w:val="both"/>
        <w:rPr>
          <w:b/>
          <w:bCs/>
          <w:lang w:val="en-US"/>
        </w:rPr>
      </w:pPr>
      <w:proofErr w:type="spellStart"/>
      <w:r w:rsidRPr="00E0319A">
        <w:rPr>
          <w:b/>
          <w:bCs/>
          <w:lang w:val="en-US"/>
        </w:rPr>
        <w:t>Ravulizumab</w:t>
      </w:r>
      <w:proofErr w:type="spellEnd"/>
    </w:p>
    <w:p w14:paraId="36840D34" w14:textId="16B313A9" w:rsidR="00E0319A" w:rsidRDefault="00E0319A" w:rsidP="00E0319A">
      <w:pPr>
        <w:spacing w:after="0" w:line="276" w:lineRule="auto"/>
        <w:jc w:val="both"/>
        <w:rPr>
          <w:rFonts w:eastAsia="Calibri Light" w:cstheme="minorHAnsi"/>
          <w:color w:val="212121"/>
          <w:lang w:val="en-US"/>
        </w:rPr>
      </w:pPr>
      <w:proofErr w:type="spellStart"/>
      <w:r>
        <w:rPr>
          <w:lang w:val="en-US"/>
        </w:rPr>
        <w:t>Ravulizumab</w:t>
      </w:r>
      <w:proofErr w:type="spellEnd"/>
      <w:r>
        <w:rPr>
          <w:lang w:val="en-US"/>
        </w:rPr>
        <w:t xml:space="preserve"> </w:t>
      </w:r>
      <w:r w:rsidRPr="007F2B18">
        <w:rPr>
          <w:rFonts w:eastAsia="Calibri Light" w:cstheme="minorHAnsi"/>
          <w:color w:val="212121"/>
          <w:lang w:val="en-US"/>
        </w:rPr>
        <w:t xml:space="preserve">was developed </w:t>
      </w:r>
      <w:r>
        <w:rPr>
          <w:rFonts w:eastAsia="Calibri Light" w:cstheme="minorHAnsi"/>
          <w:color w:val="212121"/>
          <w:lang w:val="en-US"/>
        </w:rPr>
        <w:t xml:space="preserve">seeking </w:t>
      </w:r>
      <w:r w:rsidRPr="007F2B18">
        <w:rPr>
          <w:rFonts w:eastAsia="Calibri Light" w:cstheme="minorHAnsi"/>
          <w:color w:val="212121"/>
          <w:lang w:val="en-US"/>
        </w:rPr>
        <w:t>a</w:t>
      </w:r>
      <w:r>
        <w:rPr>
          <w:rFonts w:eastAsia="Calibri Light" w:cstheme="minorHAnsi"/>
          <w:color w:val="212121"/>
          <w:lang w:val="en-US"/>
        </w:rPr>
        <w:t xml:space="preserve"> drug with a</w:t>
      </w:r>
      <w:r w:rsidRPr="007F2B18">
        <w:rPr>
          <w:rFonts w:eastAsia="Calibri Light" w:cstheme="minorHAnsi"/>
          <w:color w:val="212121"/>
          <w:lang w:val="en-US"/>
        </w:rPr>
        <w:t xml:space="preserve"> longer half-life than eculizumab</w:t>
      </w:r>
      <w:r>
        <w:rPr>
          <w:rFonts w:eastAsia="Calibri Light" w:cstheme="minorHAnsi"/>
          <w:color w:val="212121"/>
          <w:lang w:val="en-US"/>
        </w:rPr>
        <w:t xml:space="preserve"> and it</w:t>
      </w:r>
      <w:r w:rsidRPr="007F2B18">
        <w:rPr>
          <w:rFonts w:eastAsia="Calibri Light" w:cstheme="minorHAnsi"/>
          <w:color w:val="212121"/>
          <w:lang w:val="en-US"/>
        </w:rPr>
        <w:t xml:space="preserve"> was tested in preclinical pharmacokinetic and pharmacodynamic studies </w:t>
      </w:r>
      <w:r>
        <w:rPr>
          <w:rFonts w:eastAsia="Calibri Light" w:cstheme="minorHAnsi"/>
          <w:color w:val="212121"/>
          <w:lang w:val="en-US"/>
        </w:rPr>
        <w:t>using</w:t>
      </w:r>
      <w:r w:rsidRPr="007F2B18">
        <w:rPr>
          <w:rFonts w:eastAsia="Calibri Light" w:cstheme="minorHAnsi"/>
          <w:color w:val="212121"/>
          <w:lang w:val="en-US"/>
        </w:rPr>
        <w:t xml:space="preserve"> genetically modified murine models, </w:t>
      </w:r>
      <w:r>
        <w:rPr>
          <w:rFonts w:eastAsia="Calibri Light" w:cstheme="minorHAnsi"/>
          <w:color w:val="212121"/>
          <w:lang w:val="en-US"/>
        </w:rPr>
        <w:t>confirming</w:t>
      </w:r>
      <w:r w:rsidRPr="007F2B18">
        <w:rPr>
          <w:rFonts w:eastAsia="Calibri Light" w:cstheme="minorHAnsi"/>
          <w:color w:val="212121"/>
          <w:lang w:val="en-US"/>
        </w:rPr>
        <w:t xml:space="preserve"> its therapeutic efficacy and prolonged duration of action.</w:t>
      </w:r>
      <w:r w:rsidR="00B513DC">
        <w:rPr>
          <w:rFonts w:eastAsia="Calibri Light" w:cstheme="minorHAnsi"/>
          <w:color w:val="212121"/>
          <w:lang w:val="en-US"/>
        </w:rPr>
        <w:t xml:space="preserve"> [54,55]</w:t>
      </w:r>
      <w:r w:rsidRPr="0045052D">
        <w:rPr>
          <w:lang w:val="en-US"/>
        </w:rPr>
        <w:t xml:space="preserve"> </w:t>
      </w:r>
      <w:r>
        <w:rPr>
          <w:lang w:val="en-US"/>
        </w:rPr>
        <w:t xml:space="preserve">As compared to eculizumab, </w:t>
      </w:r>
      <w:proofErr w:type="spellStart"/>
      <w:r>
        <w:rPr>
          <w:lang w:val="en-US"/>
        </w:rPr>
        <w:t>ravulizumab</w:t>
      </w:r>
      <w:proofErr w:type="spellEnd"/>
      <w:r w:rsidRPr="003546F8">
        <w:rPr>
          <w:lang w:val="en-US"/>
        </w:rPr>
        <w:t xml:space="preserve"> exhibited higher affinity for complement factor C5 and received</w:t>
      </w:r>
      <w:r>
        <w:rPr>
          <w:lang w:val="en-US"/>
        </w:rPr>
        <w:t xml:space="preserve"> approval by </w:t>
      </w:r>
      <w:r w:rsidRPr="0045052D">
        <w:rPr>
          <w:lang w:val="en-US"/>
        </w:rPr>
        <w:t>the EMA</w:t>
      </w:r>
      <w:r>
        <w:rPr>
          <w:lang w:val="en-US"/>
        </w:rPr>
        <w:t xml:space="preserve"> (2019)</w:t>
      </w:r>
      <w:r w:rsidRPr="0045052D">
        <w:rPr>
          <w:lang w:val="en-US"/>
        </w:rPr>
        <w:t xml:space="preserve"> </w:t>
      </w:r>
      <w:r>
        <w:rPr>
          <w:lang w:val="en-US"/>
        </w:rPr>
        <w:t>and the Food and Drug Administration</w:t>
      </w:r>
      <w:r w:rsidRPr="003546F8">
        <w:rPr>
          <w:lang w:val="en-US"/>
        </w:rPr>
        <w:t xml:space="preserve"> </w:t>
      </w:r>
      <w:r>
        <w:rPr>
          <w:lang w:val="en-US"/>
        </w:rPr>
        <w:t>(</w:t>
      </w:r>
      <w:r w:rsidRPr="003546F8">
        <w:rPr>
          <w:lang w:val="en-US"/>
        </w:rPr>
        <w:t>FDA</w:t>
      </w:r>
      <w:r>
        <w:rPr>
          <w:lang w:val="en-US"/>
        </w:rPr>
        <w:t>) (2022)</w:t>
      </w:r>
      <w:r w:rsidRPr="003546F8">
        <w:rPr>
          <w:lang w:val="en-US"/>
        </w:rPr>
        <w:t xml:space="preserve"> </w:t>
      </w:r>
      <w:r w:rsidRPr="0045052D">
        <w:rPr>
          <w:lang w:val="en-US"/>
        </w:rPr>
        <w:t xml:space="preserve">as an add-on therapy to standard treatment for adult patients with </w:t>
      </w:r>
      <w:proofErr w:type="spellStart"/>
      <w:r w:rsidRPr="0045052D">
        <w:rPr>
          <w:lang w:val="en-US"/>
        </w:rPr>
        <w:t>gMG</w:t>
      </w:r>
      <w:proofErr w:type="spellEnd"/>
      <w:r w:rsidRPr="0045052D">
        <w:rPr>
          <w:lang w:val="en-US"/>
        </w:rPr>
        <w:t xml:space="preserve"> who are positive for </w:t>
      </w:r>
      <w:proofErr w:type="spellStart"/>
      <w:r w:rsidRPr="0045052D">
        <w:rPr>
          <w:lang w:val="en-US"/>
        </w:rPr>
        <w:t>AChR</w:t>
      </w:r>
      <w:proofErr w:type="spellEnd"/>
      <w:r w:rsidRPr="0045052D">
        <w:rPr>
          <w:lang w:val="en-US"/>
        </w:rPr>
        <w:t xml:space="preserve"> antibodies</w:t>
      </w:r>
      <w:r w:rsidRPr="003546F8">
        <w:rPr>
          <w:lang w:val="en-US"/>
        </w:rPr>
        <w:t>.</w:t>
      </w:r>
      <w:r>
        <w:rPr>
          <w:lang w:val="en-US"/>
        </w:rPr>
        <w:t xml:space="preserve"> Like eculizumab, also </w:t>
      </w:r>
      <w:proofErr w:type="spellStart"/>
      <w:r>
        <w:rPr>
          <w:lang w:val="en-US"/>
        </w:rPr>
        <w:t>ravulizumab</w:t>
      </w:r>
      <w:proofErr w:type="spellEnd"/>
      <w:r>
        <w:rPr>
          <w:lang w:val="en-US"/>
        </w:rPr>
        <w:t xml:space="preserve"> increases the risk for meningococcal disease and therapy can be started only in vaccinated patients.</w:t>
      </w:r>
      <w:r w:rsidR="00B513DC">
        <w:rPr>
          <w:lang w:val="en-US"/>
        </w:rPr>
        <w:t xml:space="preserve"> [56]</w:t>
      </w:r>
    </w:p>
    <w:p w14:paraId="02FB4B3A" w14:textId="111B865E" w:rsidR="00E0319A" w:rsidRDefault="00E0319A" w:rsidP="00E0319A">
      <w:pPr>
        <w:spacing w:after="0" w:line="276" w:lineRule="auto"/>
        <w:jc w:val="both"/>
        <w:rPr>
          <w:lang w:val="en-US"/>
        </w:rPr>
      </w:pPr>
      <w:bookmarkStart w:id="10" w:name="_Hlk150778853"/>
      <w:proofErr w:type="spellStart"/>
      <w:r>
        <w:rPr>
          <w:lang w:val="en-US"/>
        </w:rPr>
        <w:t>Ravulizumab</w:t>
      </w:r>
      <w:proofErr w:type="spellEnd"/>
      <w:r>
        <w:rPr>
          <w:lang w:val="en-US"/>
        </w:rPr>
        <w:t xml:space="preserve"> was developed by replacing</w:t>
      </w:r>
      <w:r w:rsidRPr="003546F8">
        <w:rPr>
          <w:lang w:val="en-US"/>
        </w:rPr>
        <w:t xml:space="preserve"> </w:t>
      </w:r>
      <w:r>
        <w:rPr>
          <w:lang w:val="en-US"/>
        </w:rPr>
        <w:t xml:space="preserve">four </w:t>
      </w:r>
      <w:r w:rsidRPr="003546F8">
        <w:rPr>
          <w:lang w:val="en-US"/>
        </w:rPr>
        <w:t>amino acid</w:t>
      </w:r>
      <w:r>
        <w:rPr>
          <w:lang w:val="en-US"/>
        </w:rPr>
        <w:t>s</w:t>
      </w:r>
      <w:r w:rsidRPr="003546F8">
        <w:rPr>
          <w:lang w:val="en-US"/>
        </w:rPr>
        <w:t xml:space="preserve"> in the</w:t>
      </w:r>
      <w:r>
        <w:rPr>
          <w:lang w:val="en-US"/>
        </w:rPr>
        <w:t xml:space="preserve"> heavy chain region, two in the complementarity-determining variable region, and two in the</w:t>
      </w:r>
      <w:r w:rsidRPr="003546F8">
        <w:rPr>
          <w:lang w:val="en-US"/>
        </w:rPr>
        <w:t xml:space="preserve"> Fc fragment of eculizumab</w:t>
      </w:r>
      <w:r>
        <w:rPr>
          <w:lang w:val="en-US"/>
        </w:rPr>
        <w:t>, leading to</w:t>
      </w:r>
      <w:r w:rsidRPr="003546F8">
        <w:rPr>
          <w:lang w:val="en-US"/>
        </w:rPr>
        <w:t xml:space="preserve"> a longer duration of action, </w:t>
      </w:r>
      <w:r>
        <w:rPr>
          <w:lang w:val="en-US"/>
        </w:rPr>
        <w:t>allowing</w:t>
      </w:r>
      <w:r w:rsidRPr="003546F8">
        <w:rPr>
          <w:lang w:val="en-US"/>
        </w:rPr>
        <w:t xml:space="preserve"> </w:t>
      </w:r>
      <w:proofErr w:type="spellStart"/>
      <w:r w:rsidRPr="003546F8">
        <w:rPr>
          <w:lang w:val="en-US"/>
        </w:rPr>
        <w:t>ravulizumab</w:t>
      </w:r>
      <w:proofErr w:type="spellEnd"/>
      <w:r w:rsidRPr="003546F8">
        <w:rPr>
          <w:lang w:val="en-US"/>
        </w:rPr>
        <w:t xml:space="preserve"> to be administered once every eight wee</w:t>
      </w:r>
      <w:bookmarkEnd w:id="10"/>
      <w:r w:rsidRPr="003546F8">
        <w:rPr>
          <w:lang w:val="en-US"/>
        </w:rPr>
        <w:t>ks</w:t>
      </w:r>
      <w:r w:rsidR="00B513DC">
        <w:rPr>
          <w:lang w:val="en-US"/>
        </w:rPr>
        <w:t xml:space="preserve"> [57]</w:t>
      </w:r>
      <w:r>
        <w:rPr>
          <w:lang w:val="en-US"/>
        </w:rPr>
        <w:t xml:space="preserve"> (</w:t>
      </w:r>
      <w:r w:rsidRPr="00C8444B">
        <w:rPr>
          <w:b/>
          <w:bCs/>
          <w:lang w:val="en-US"/>
        </w:rPr>
        <w:t>Table 2</w:t>
      </w:r>
      <w:r>
        <w:rPr>
          <w:lang w:val="en-US"/>
        </w:rPr>
        <w:t>).</w:t>
      </w:r>
    </w:p>
    <w:p w14:paraId="7D81A08C" w14:textId="006A5F3B" w:rsidR="00E0319A" w:rsidRDefault="00E0319A" w:rsidP="00E0319A">
      <w:pPr>
        <w:spacing w:after="0" w:line="276" w:lineRule="auto"/>
        <w:jc w:val="both"/>
        <w:rPr>
          <w:lang w:val="en-US"/>
        </w:rPr>
      </w:pPr>
      <w:r w:rsidRPr="00337D87">
        <w:rPr>
          <w:lang w:val="en-US"/>
        </w:rPr>
        <w:t xml:space="preserve">The </w:t>
      </w:r>
      <w:r>
        <w:rPr>
          <w:lang w:val="en-US"/>
        </w:rPr>
        <w:t xml:space="preserve">clinical </w:t>
      </w:r>
      <w:r w:rsidRPr="00337D87">
        <w:rPr>
          <w:lang w:val="en-US"/>
        </w:rPr>
        <w:t xml:space="preserve">efficacy of </w:t>
      </w:r>
      <w:proofErr w:type="spellStart"/>
      <w:r w:rsidRPr="00337D87">
        <w:rPr>
          <w:lang w:val="en-US"/>
        </w:rPr>
        <w:t>ravulizumab</w:t>
      </w:r>
      <w:proofErr w:type="spellEnd"/>
      <w:r w:rsidRPr="00337D87">
        <w:rPr>
          <w:lang w:val="en-US"/>
        </w:rPr>
        <w:t xml:space="preserve"> in adult patients with </w:t>
      </w:r>
      <w:proofErr w:type="spellStart"/>
      <w:r>
        <w:rPr>
          <w:lang w:val="en-US"/>
        </w:rPr>
        <w:t>g</w:t>
      </w:r>
      <w:r w:rsidRPr="00337D87">
        <w:rPr>
          <w:lang w:val="en-US"/>
        </w:rPr>
        <w:t>MG</w:t>
      </w:r>
      <w:proofErr w:type="spellEnd"/>
      <w:r w:rsidRPr="00337D87">
        <w:rPr>
          <w:lang w:val="en-US"/>
        </w:rPr>
        <w:t xml:space="preserve"> was assessed in the CHAMPION-MG study (NCT03920293), a double-blind, placebo-controlled, phase III randomized controlled trial</w:t>
      </w:r>
      <w:r>
        <w:rPr>
          <w:lang w:val="en-US"/>
        </w:rPr>
        <w:t xml:space="preserve"> (RCT)</w:t>
      </w:r>
      <w:r w:rsidRPr="00337D87">
        <w:rPr>
          <w:lang w:val="en-US"/>
        </w:rPr>
        <w:t>.</w:t>
      </w:r>
      <w:r w:rsidR="00B513DC">
        <w:rPr>
          <w:lang w:val="en-US"/>
        </w:rPr>
        <w:t xml:space="preserve"> [58]</w:t>
      </w:r>
      <w:r w:rsidRPr="00337D87">
        <w:rPr>
          <w:lang w:val="en-US"/>
        </w:rPr>
        <w:t xml:space="preserve"> Eligibility criteria for the trial included: (</w:t>
      </w:r>
      <w:proofErr w:type="spellStart"/>
      <w:r w:rsidRPr="00337D87">
        <w:rPr>
          <w:lang w:val="en-US"/>
        </w:rPr>
        <w:t>i</w:t>
      </w:r>
      <w:proofErr w:type="spellEnd"/>
      <w:r w:rsidRPr="00337D87">
        <w:rPr>
          <w:lang w:val="en-US"/>
        </w:rPr>
        <w:t xml:space="preserve">) age ≥ 18 years and weight ≥ 40 kg, (ii) a diagnosis of </w:t>
      </w:r>
      <w:proofErr w:type="spellStart"/>
      <w:r>
        <w:rPr>
          <w:lang w:val="en-US"/>
        </w:rPr>
        <w:t>g</w:t>
      </w:r>
      <w:r w:rsidRPr="00337D87">
        <w:rPr>
          <w:lang w:val="en-US"/>
        </w:rPr>
        <w:t>MG</w:t>
      </w:r>
      <w:proofErr w:type="spellEnd"/>
      <w:r w:rsidRPr="00337D87">
        <w:rPr>
          <w:lang w:val="en-US"/>
        </w:rPr>
        <w:t xml:space="preserve"> for at least 6 months, (iii) severity class II-IV according to the MGFA classification, a score ≥ 6 on the MG-ADL scale, and a positive serologic test for </w:t>
      </w:r>
      <w:proofErr w:type="spellStart"/>
      <w:r w:rsidRPr="00337D87">
        <w:rPr>
          <w:lang w:val="en-US"/>
        </w:rPr>
        <w:t>AChR</w:t>
      </w:r>
      <w:proofErr w:type="spellEnd"/>
      <w:r w:rsidRPr="00337D87">
        <w:rPr>
          <w:lang w:val="en-US"/>
        </w:rPr>
        <w:t xml:space="preserve"> antibodies during the screening and randomization phases. Patients receiving immunosuppressive therapies were allowed to continue treatment for the entire </w:t>
      </w:r>
      <w:r>
        <w:rPr>
          <w:lang w:val="en-US"/>
        </w:rPr>
        <w:t xml:space="preserve">study </w:t>
      </w:r>
      <w:r w:rsidRPr="00337D87">
        <w:rPr>
          <w:lang w:val="en-US"/>
        </w:rPr>
        <w:t xml:space="preserve">duration. The 175 enrolled patients were randomized to receive intravenous </w:t>
      </w:r>
      <w:proofErr w:type="spellStart"/>
      <w:r w:rsidRPr="00337D87">
        <w:rPr>
          <w:lang w:val="en-US"/>
        </w:rPr>
        <w:t>ravulizumab</w:t>
      </w:r>
      <w:proofErr w:type="spellEnd"/>
      <w:r w:rsidRPr="00337D87">
        <w:rPr>
          <w:lang w:val="en-US"/>
        </w:rPr>
        <w:t xml:space="preserve"> (N=86 patients) or placebo (N=89 </w:t>
      </w:r>
      <w:r w:rsidRPr="00337D87">
        <w:rPr>
          <w:lang w:val="en-US"/>
        </w:rPr>
        <w:lastRenderedPageBreak/>
        <w:t>patients) for 26 weeks.</w:t>
      </w:r>
      <w:r>
        <w:rPr>
          <w:lang w:val="en-US"/>
        </w:rPr>
        <w:t xml:space="preserve"> </w:t>
      </w:r>
      <w:r w:rsidRPr="00337D87">
        <w:rPr>
          <w:lang w:val="en-US"/>
        </w:rPr>
        <w:t xml:space="preserve">The </w:t>
      </w:r>
      <w:r>
        <w:rPr>
          <w:lang w:val="en-US"/>
        </w:rPr>
        <w:t xml:space="preserve">study’s </w:t>
      </w:r>
      <w:r w:rsidRPr="00337D87">
        <w:rPr>
          <w:lang w:val="en-US"/>
        </w:rPr>
        <w:t xml:space="preserve">primary endpoint was the change in the total MG-ADL scale score from baseline at week 26. Secondary endpoints included changes in the QMG, revised MG-QOL15, and Neuro-QoL Fatigue scale scores at week 26. </w:t>
      </w:r>
      <w:r>
        <w:rPr>
          <w:lang w:val="en-US"/>
        </w:rPr>
        <w:t xml:space="preserve">Overall, 162 patients completed the randomization period. </w:t>
      </w:r>
      <w:r w:rsidRPr="00337D87">
        <w:rPr>
          <w:lang w:val="en-US"/>
        </w:rPr>
        <w:t>The primary analysis demonstrated that</w:t>
      </w:r>
      <w:r>
        <w:rPr>
          <w:lang w:val="en-US"/>
        </w:rPr>
        <w:t>,</w:t>
      </w:r>
      <w:r w:rsidRPr="00337D87">
        <w:rPr>
          <w:lang w:val="en-US"/>
        </w:rPr>
        <w:t xml:space="preserve"> compared to placebo, </w:t>
      </w:r>
      <w:proofErr w:type="spellStart"/>
      <w:r w:rsidRPr="00337D87">
        <w:rPr>
          <w:lang w:val="en-US"/>
        </w:rPr>
        <w:t>ravulizumab</w:t>
      </w:r>
      <w:proofErr w:type="spellEnd"/>
      <w:r w:rsidRPr="00337D87">
        <w:rPr>
          <w:lang w:val="en-US"/>
        </w:rPr>
        <w:t xml:space="preserve"> resulted in a significant mean change in MG-ADL scale values (-3.1 vs. -1.4; </w:t>
      </w:r>
      <w:r w:rsidRPr="00337D87">
        <w:rPr>
          <w:i/>
          <w:iCs/>
          <w:lang w:val="en-US"/>
        </w:rPr>
        <w:t>p</w:t>
      </w:r>
      <w:r w:rsidRPr="00337D87">
        <w:rPr>
          <w:lang w:val="en-US"/>
        </w:rPr>
        <w:t xml:space="preserve">&lt;0.001) and QMG scale values (-2.8 vs. -0.8; </w:t>
      </w:r>
      <w:r w:rsidRPr="00337D87">
        <w:rPr>
          <w:i/>
          <w:iCs/>
          <w:lang w:val="en-US"/>
        </w:rPr>
        <w:t>p</w:t>
      </w:r>
      <w:r w:rsidRPr="00337D87">
        <w:rPr>
          <w:lang w:val="en-US"/>
        </w:rPr>
        <w:t xml:space="preserve">&lt;0.001). Total QMG scale scores improved by </w:t>
      </w:r>
      <w:r>
        <w:rPr>
          <w:rFonts w:cstheme="minorHAnsi"/>
          <w:lang w:val="en-US"/>
        </w:rPr>
        <w:t>≥</w:t>
      </w:r>
      <w:r>
        <w:rPr>
          <w:lang w:val="en-US"/>
        </w:rPr>
        <w:t xml:space="preserve"> </w:t>
      </w:r>
      <w:r w:rsidRPr="00337D87">
        <w:rPr>
          <w:lang w:val="en-US"/>
        </w:rPr>
        <w:t xml:space="preserve">5 points in a significantly larger proportion of patients treated with </w:t>
      </w:r>
      <w:proofErr w:type="spellStart"/>
      <w:r w:rsidRPr="00337D87">
        <w:rPr>
          <w:lang w:val="en-US"/>
        </w:rPr>
        <w:t>ravulizumab</w:t>
      </w:r>
      <w:proofErr w:type="spellEnd"/>
      <w:r w:rsidRPr="00337D87">
        <w:rPr>
          <w:lang w:val="en-US"/>
        </w:rPr>
        <w:t xml:space="preserve"> </w:t>
      </w:r>
      <w:r>
        <w:rPr>
          <w:lang w:val="en-US"/>
        </w:rPr>
        <w:t>than</w:t>
      </w:r>
      <w:r w:rsidRPr="00337D87">
        <w:rPr>
          <w:lang w:val="en-US"/>
        </w:rPr>
        <w:t xml:space="preserve"> those </w:t>
      </w:r>
      <w:r>
        <w:rPr>
          <w:lang w:val="en-US"/>
        </w:rPr>
        <w:t>receiving</w:t>
      </w:r>
      <w:r w:rsidRPr="00337D87">
        <w:rPr>
          <w:lang w:val="en-US"/>
        </w:rPr>
        <w:t xml:space="preserve"> placebo (30.0% vs. 11.3%; </w:t>
      </w:r>
      <w:r w:rsidRPr="00337D87">
        <w:rPr>
          <w:i/>
          <w:iCs/>
          <w:lang w:val="en-US"/>
        </w:rPr>
        <w:t>p</w:t>
      </w:r>
      <w:r w:rsidRPr="00337D87">
        <w:rPr>
          <w:lang w:val="en-US"/>
        </w:rPr>
        <w:t>=0.005).</w:t>
      </w:r>
      <w:r>
        <w:rPr>
          <w:lang w:val="en-US"/>
        </w:rPr>
        <w:t xml:space="preserve"> N</w:t>
      </w:r>
      <w:r w:rsidRPr="001C6B3F">
        <w:rPr>
          <w:lang w:val="en-US"/>
        </w:rPr>
        <w:t xml:space="preserve">o </w:t>
      </w:r>
      <w:r>
        <w:rPr>
          <w:lang w:val="en-US"/>
        </w:rPr>
        <w:t>significant</w:t>
      </w:r>
      <w:r w:rsidRPr="001C6B3F">
        <w:rPr>
          <w:lang w:val="en-US"/>
        </w:rPr>
        <w:t xml:space="preserve"> differences in the</w:t>
      </w:r>
      <w:r>
        <w:rPr>
          <w:lang w:val="en-US"/>
        </w:rPr>
        <w:t xml:space="preserve"> </w:t>
      </w:r>
      <w:r w:rsidRPr="001C6B3F">
        <w:rPr>
          <w:lang w:val="en-US"/>
        </w:rPr>
        <w:t>types of adverse events</w:t>
      </w:r>
      <w:r>
        <w:rPr>
          <w:lang w:val="en-US"/>
        </w:rPr>
        <w:t xml:space="preserve"> were observed</w:t>
      </w:r>
      <w:r w:rsidRPr="001C6B3F">
        <w:rPr>
          <w:lang w:val="en-US"/>
        </w:rPr>
        <w:t xml:space="preserve"> between the two groups</w:t>
      </w:r>
      <w:r>
        <w:rPr>
          <w:lang w:val="en-US"/>
        </w:rPr>
        <w:t xml:space="preserve"> and t</w:t>
      </w:r>
      <w:r w:rsidRPr="001C6B3F">
        <w:rPr>
          <w:lang w:val="en-US"/>
        </w:rPr>
        <w:t>he most</w:t>
      </w:r>
      <w:r>
        <w:rPr>
          <w:lang w:val="en-US"/>
        </w:rPr>
        <w:t xml:space="preserve"> common</w:t>
      </w:r>
      <w:r w:rsidRPr="001C6B3F">
        <w:rPr>
          <w:lang w:val="en-US"/>
        </w:rPr>
        <w:t xml:space="preserve"> adverse event was headache</w:t>
      </w:r>
      <w:r>
        <w:rPr>
          <w:lang w:val="en-US"/>
        </w:rPr>
        <w:t xml:space="preserve"> </w:t>
      </w:r>
      <w:r w:rsidRPr="001C6B3F">
        <w:rPr>
          <w:lang w:val="en-US"/>
        </w:rPr>
        <w:t>in</w:t>
      </w:r>
      <w:r>
        <w:rPr>
          <w:lang w:val="en-US"/>
        </w:rPr>
        <w:t xml:space="preserve"> both</w:t>
      </w:r>
      <w:r w:rsidRPr="001C6B3F">
        <w:rPr>
          <w:lang w:val="en-US"/>
        </w:rPr>
        <w:t xml:space="preserve"> group</w:t>
      </w:r>
      <w:r>
        <w:rPr>
          <w:lang w:val="en-US"/>
        </w:rPr>
        <w:t>s</w:t>
      </w:r>
      <w:r w:rsidRPr="001C6B3F">
        <w:rPr>
          <w:lang w:val="en-US"/>
        </w:rPr>
        <w:t>.</w:t>
      </w:r>
      <w:r>
        <w:rPr>
          <w:lang w:val="en-US"/>
        </w:rPr>
        <w:t xml:space="preserve"> A higher proportion of patients treated with </w:t>
      </w:r>
      <w:proofErr w:type="spellStart"/>
      <w:r>
        <w:rPr>
          <w:lang w:val="en-US"/>
        </w:rPr>
        <w:t>ravulizumab</w:t>
      </w:r>
      <w:proofErr w:type="spellEnd"/>
      <w:r>
        <w:rPr>
          <w:lang w:val="en-US"/>
        </w:rPr>
        <w:t xml:space="preserve"> reported s</w:t>
      </w:r>
      <w:r w:rsidRPr="001C6B3F">
        <w:rPr>
          <w:lang w:val="en-US"/>
        </w:rPr>
        <w:t>erious adverse events</w:t>
      </w:r>
      <w:r>
        <w:rPr>
          <w:lang w:val="en-US"/>
        </w:rPr>
        <w:t xml:space="preserve"> </w:t>
      </w:r>
      <w:r w:rsidRPr="001C6B3F">
        <w:rPr>
          <w:lang w:val="en-US"/>
        </w:rPr>
        <w:t>(23%)</w:t>
      </w:r>
      <w:r>
        <w:rPr>
          <w:lang w:val="en-US"/>
        </w:rPr>
        <w:t xml:space="preserve"> as compared to those treated with placebo (</w:t>
      </w:r>
      <w:r w:rsidRPr="001C6B3F">
        <w:rPr>
          <w:lang w:val="en-US"/>
        </w:rPr>
        <w:t>16%</w:t>
      </w:r>
      <w:r>
        <w:rPr>
          <w:lang w:val="en-US"/>
        </w:rPr>
        <w:t>) and t</w:t>
      </w:r>
      <w:r w:rsidRPr="001C6B3F">
        <w:rPr>
          <w:lang w:val="en-US"/>
        </w:rPr>
        <w:t xml:space="preserve">he most </w:t>
      </w:r>
      <w:r>
        <w:rPr>
          <w:lang w:val="en-US"/>
        </w:rPr>
        <w:t>reported</w:t>
      </w:r>
      <w:r w:rsidRPr="001C6B3F">
        <w:rPr>
          <w:lang w:val="en-US"/>
        </w:rPr>
        <w:t xml:space="preserve"> serious adverse events</w:t>
      </w:r>
      <w:r>
        <w:rPr>
          <w:lang w:val="en-US"/>
        </w:rPr>
        <w:t xml:space="preserve"> was MG</w:t>
      </w:r>
      <w:r w:rsidRPr="001C6B3F">
        <w:rPr>
          <w:lang w:val="en-US"/>
        </w:rPr>
        <w:t xml:space="preserve"> worsening</w:t>
      </w:r>
      <w:r>
        <w:rPr>
          <w:lang w:val="en-US"/>
        </w:rPr>
        <w:t>. No cases of meningococcal infection were reported.</w:t>
      </w:r>
    </w:p>
    <w:p w14:paraId="70F908B4" w14:textId="1A4FF684" w:rsidR="00E0319A" w:rsidRPr="00AF6849" w:rsidRDefault="00E0319A" w:rsidP="00E0319A">
      <w:pPr>
        <w:spacing w:after="0" w:line="276" w:lineRule="auto"/>
        <w:jc w:val="both"/>
        <w:rPr>
          <w:lang w:val="en-US"/>
        </w:rPr>
      </w:pPr>
      <w:r>
        <w:rPr>
          <w:lang w:val="en-US"/>
        </w:rPr>
        <w:t>Enrolled</w:t>
      </w:r>
      <w:r w:rsidRPr="00337D87">
        <w:rPr>
          <w:lang w:val="en-US"/>
        </w:rPr>
        <w:t xml:space="preserve"> patients were subsequently allowed to enter an open-label extension study lasting up to four years, during which all patients received </w:t>
      </w:r>
      <w:proofErr w:type="spellStart"/>
      <w:r w:rsidRPr="00337D87">
        <w:rPr>
          <w:lang w:val="en-US"/>
        </w:rPr>
        <w:t>ravulizumab</w:t>
      </w:r>
      <w:proofErr w:type="spellEnd"/>
      <w:r w:rsidRPr="00337D87">
        <w:rPr>
          <w:lang w:val="en-US"/>
        </w:rPr>
        <w:t>. Out of the 175 patients enrolled in the CHAMPION-MG trial, 161 continued into the</w:t>
      </w:r>
      <w:r>
        <w:rPr>
          <w:lang w:val="en-US"/>
        </w:rPr>
        <w:t xml:space="preserve"> still ongoing</w:t>
      </w:r>
      <w:r w:rsidRPr="00337D87">
        <w:rPr>
          <w:lang w:val="en-US"/>
        </w:rPr>
        <w:t xml:space="preserve"> open-label extension study (NCT03920293), and data from the first 60 weeks of the study were published in April 2023.</w:t>
      </w:r>
      <w:r w:rsidR="00B513DC">
        <w:rPr>
          <w:lang w:val="en-US"/>
        </w:rPr>
        <w:t xml:space="preserve"> [59]</w:t>
      </w:r>
      <w:r w:rsidRPr="00337D87">
        <w:rPr>
          <w:lang w:val="en-US"/>
        </w:rPr>
        <w:t xml:space="preserve"> The endpoints for </w:t>
      </w:r>
      <w:r>
        <w:rPr>
          <w:lang w:val="en-US"/>
        </w:rPr>
        <w:t>assessing the efficacy of the</w:t>
      </w:r>
      <w:r w:rsidRPr="00337D87">
        <w:rPr>
          <w:lang w:val="en-US"/>
        </w:rPr>
        <w:t xml:space="preserve"> drug included changes in </w:t>
      </w:r>
      <w:r>
        <w:rPr>
          <w:lang w:val="en-US"/>
        </w:rPr>
        <w:t xml:space="preserve">the </w:t>
      </w:r>
      <w:r w:rsidRPr="00337D87">
        <w:rPr>
          <w:lang w:val="en-US"/>
        </w:rPr>
        <w:t xml:space="preserve">scores after 60 weeks of treatment. The results of this study demonstrated that over 60 weeks, </w:t>
      </w:r>
      <w:proofErr w:type="spellStart"/>
      <w:r w:rsidRPr="00337D87">
        <w:rPr>
          <w:lang w:val="en-US"/>
        </w:rPr>
        <w:t>ravulizumab</w:t>
      </w:r>
      <w:proofErr w:type="spellEnd"/>
      <w:r w:rsidRPr="00337D87">
        <w:rPr>
          <w:lang w:val="en-US"/>
        </w:rPr>
        <w:t xml:space="preserve"> was associated with improvement in MG-ADL and QMG scale scores for both patients who continued with the treatment and those who initially received placebo during the randomized controlled 26-week period.</w:t>
      </w:r>
      <w:r>
        <w:rPr>
          <w:lang w:val="en-US"/>
        </w:rPr>
        <w:t xml:space="preserve"> As for the safety profile, finding from the open-label extension study confirmed those of the CHAMPION-MG trial. As compared with placebo, higher rates of </w:t>
      </w:r>
      <w:r w:rsidRPr="009D69AC">
        <w:rPr>
          <w:lang w:val="en-US"/>
        </w:rPr>
        <w:t>abdominal pain, dizziness, and upper respiratory tract infection</w:t>
      </w:r>
      <w:r>
        <w:rPr>
          <w:lang w:val="en-US"/>
        </w:rPr>
        <w:t xml:space="preserve"> were observed with </w:t>
      </w:r>
      <w:proofErr w:type="spellStart"/>
      <w:r>
        <w:rPr>
          <w:lang w:val="en-US"/>
        </w:rPr>
        <w:t>ravulizumab</w:t>
      </w:r>
      <w:proofErr w:type="spellEnd"/>
      <w:r>
        <w:rPr>
          <w:lang w:val="en-US"/>
        </w:rPr>
        <w:t xml:space="preserve">. Furthermore, no meningococcal infections were reported. </w:t>
      </w:r>
      <w:r w:rsidR="00B513DC">
        <w:rPr>
          <w:lang w:val="en-US"/>
        </w:rPr>
        <w:t>[59]</w:t>
      </w:r>
    </w:p>
    <w:p w14:paraId="1CCFDD40" w14:textId="77777777" w:rsidR="00E0319A" w:rsidRDefault="00E0319A" w:rsidP="00E0319A">
      <w:pPr>
        <w:spacing w:after="0" w:line="276" w:lineRule="auto"/>
        <w:jc w:val="both"/>
        <w:rPr>
          <w:lang w:val="en-US"/>
        </w:rPr>
      </w:pPr>
    </w:p>
    <w:p w14:paraId="6D679D77" w14:textId="77777777" w:rsidR="00E0319A" w:rsidRPr="00E0319A" w:rsidRDefault="00E0319A" w:rsidP="00E0319A">
      <w:pPr>
        <w:pStyle w:val="Paragrafoelenco"/>
        <w:numPr>
          <w:ilvl w:val="1"/>
          <w:numId w:val="6"/>
        </w:numPr>
        <w:spacing w:after="0" w:line="276" w:lineRule="auto"/>
        <w:jc w:val="both"/>
        <w:rPr>
          <w:b/>
          <w:bCs/>
          <w:lang w:val="en-US"/>
        </w:rPr>
      </w:pPr>
      <w:r>
        <w:rPr>
          <w:b/>
          <w:bCs/>
          <w:lang w:val="en-US"/>
        </w:rPr>
        <w:t>Efgartigimod</w:t>
      </w:r>
    </w:p>
    <w:p w14:paraId="3B10C76E" w14:textId="4848F354" w:rsidR="00E0319A" w:rsidRPr="0068041C" w:rsidRDefault="00E0319A" w:rsidP="00E0319A">
      <w:pPr>
        <w:spacing w:after="0" w:line="276" w:lineRule="auto"/>
        <w:jc w:val="both"/>
        <w:rPr>
          <w:lang w:val="en-US"/>
        </w:rPr>
      </w:pPr>
      <w:r w:rsidRPr="00337D87">
        <w:rPr>
          <w:lang w:val="en-US"/>
        </w:rPr>
        <w:t xml:space="preserve">Efgartigimod is an orphan drug approved by the EMA in 2022 for the treatment, </w:t>
      </w:r>
      <w:r>
        <w:rPr>
          <w:lang w:val="en-US"/>
        </w:rPr>
        <w:t>as add-on therapy</w:t>
      </w:r>
      <w:r w:rsidRPr="00337D87">
        <w:rPr>
          <w:lang w:val="en-US"/>
        </w:rPr>
        <w:t xml:space="preserve">, of adult patients with </w:t>
      </w:r>
      <w:proofErr w:type="spellStart"/>
      <w:r>
        <w:rPr>
          <w:lang w:val="en-US"/>
        </w:rPr>
        <w:t>g</w:t>
      </w:r>
      <w:r w:rsidRPr="00337D87">
        <w:rPr>
          <w:lang w:val="en-US"/>
        </w:rPr>
        <w:t>MG</w:t>
      </w:r>
      <w:proofErr w:type="spellEnd"/>
      <w:r w:rsidRPr="00337D87">
        <w:rPr>
          <w:lang w:val="en-US"/>
        </w:rPr>
        <w:t xml:space="preserve"> who are positive for </w:t>
      </w:r>
      <w:proofErr w:type="spellStart"/>
      <w:r w:rsidRPr="00337D87">
        <w:rPr>
          <w:lang w:val="en-US"/>
        </w:rPr>
        <w:t>AChR</w:t>
      </w:r>
      <w:proofErr w:type="spellEnd"/>
      <w:r w:rsidRPr="00337D87">
        <w:rPr>
          <w:lang w:val="en-US"/>
        </w:rPr>
        <w:t xml:space="preserve"> antibodies. </w:t>
      </w:r>
      <w:r>
        <w:rPr>
          <w:lang w:val="en-US"/>
        </w:rPr>
        <w:t>It</w:t>
      </w:r>
      <w:r w:rsidRPr="003546F8">
        <w:rPr>
          <w:lang w:val="en-US"/>
        </w:rPr>
        <w:t xml:space="preserve"> is an engineered human IgG fragment capable of binding </w:t>
      </w:r>
      <w:r>
        <w:rPr>
          <w:lang w:val="en-US"/>
        </w:rPr>
        <w:t xml:space="preserve">FcRn </w:t>
      </w:r>
      <w:r w:rsidRPr="003546F8">
        <w:rPr>
          <w:lang w:val="en-US"/>
        </w:rPr>
        <w:t xml:space="preserve">with high affinity, </w:t>
      </w:r>
      <w:r>
        <w:rPr>
          <w:lang w:val="en-US"/>
        </w:rPr>
        <w:t xml:space="preserve">thus </w:t>
      </w:r>
      <w:r w:rsidRPr="003546F8">
        <w:rPr>
          <w:lang w:val="en-US"/>
        </w:rPr>
        <w:t xml:space="preserve">enhancing the degradation of endogenous </w:t>
      </w:r>
      <w:proofErr w:type="spellStart"/>
      <w:r w:rsidRPr="003546F8">
        <w:rPr>
          <w:lang w:val="en-US"/>
        </w:rPr>
        <w:t>IgGs</w:t>
      </w:r>
      <w:proofErr w:type="spellEnd"/>
      <w:r w:rsidRPr="003546F8">
        <w:rPr>
          <w:lang w:val="en-US"/>
        </w:rPr>
        <w:t xml:space="preserve"> and preventing their recycling. Encouraging results from clinical trials led the FDA to approve the drug in 2021 for treating </w:t>
      </w:r>
      <w:proofErr w:type="spellStart"/>
      <w:r w:rsidRPr="003546F8">
        <w:rPr>
          <w:lang w:val="en-US"/>
        </w:rPr>
        <w:t>AChR</w:t>
      </w:r>
      <w:proofErr w:type="spellEnd"/>
      <w:r>
        <w:rPr>
          <w:lang w:val="en-US"/>
        </w:rPr>
        <w:t xml:space="preserve"> </w:t>
      </w:r>
      <w:proofErr w:type="spellStart"/>
      <w:r>
        <w:rPr>
          <w:lang w:val="en-US"/>
        </w:rPr>
        <w:t>IgGs</w:t>
      </w:r>
      <w:proofErr w:type="spellEnd"/>
      <w:r w:rsidRPr="003546F8">
        <w:rPr>
          <w:lang w:val="en-US"/>
        </w:rPr>
        <w:t xml:space="preserve"> positive adults with </w:t>
      </w:r>
      <w:proofErr w:type="spellStart"/>
      <w:r>
        <w:rPr>
          <w:lang w:val="en-US"/>
        </w:rPr>
        <w:t>g</w:t>
      </w:r>
      <w:r w:rsidRPr="003546F8">
        <w:rPr>
          <w:lang w:val="en-US"/>
        </w:rPr>
        <w:t>MG</w:t>
      </w:r>
      <w:proofErr w:type="spellEnd"/>
      <w:r w:rsidRPr="003546F8">
        <w:rPr>
          <w:lang w:val="en-US"/>
        </w:rPr>
        <w:t>.</w:t>
      </w:r>
      <w:r w:rsidR="00B513DC">
        <w:rPr>
          <w:lang w:val="en-US"/>
        </w:rPr>
        <w:t xml:space="preserve"> [60]</w:t>
      </w:r>
    </w:p>
    <w:p w14:paraId="7E6876B4" w14:textId="0665D1F2" w:rsidR="00E0319A" w:rsidRDefault="00E0319A" w:rsidP="00E0319A">
      <w:pPr>
        <w:spacing w:after="0" w:line="276" w:lineRule="auto"/>
        <w:jc w:val="both"/>
        <w:rPr>
          <w:rFonts w:eastAsia="Calibri Light" w:cstheme="minorHAnsi"/>
          <w:color w:val="212121"/>
          <w:lang w:val="en-US"/>
        </w:rPr>
      </w:pPr>
      <w:r>
        <w:rPr>
          <w:rFonts w:eastAsia="Calibri Light" w:cstheme="minorHAnsi"/>
          <w:color w:val="212121"/>
          <w:lang w:val="en-US"/>
        </w:rPr>
        <w:t>T</w:t>
      </w:r>
      <w:r w:rsidRPr="00D748A6">
        <w:rPr>
          <w:rFonts w:eastAsia="Calibri Light" w:cstheme="minorHAnsi"/>
          <w:color w:val="212121"/>
          <w:lang w:val="en-US"/>
        </w:rPr>
        <w:t>he therapeutic effects of FcRn administration</w:t>
      </w:r>
      <w:r>
        <w:rPr>
          <w:rFonts w:eastAsia="Calibri Light" w:cstheme="minorHAnsi"/>
          <w:color w:val="212121"/>
          <w:lang w:val="en-US"/>
        </w:rPr>
        <w:t xml:space="preserve"> have been explored</w:t>
      </w:r>
      <w:r w:rsidRPr="00D748A6">
        <w:rPr>
          <w:rFonts w:eastAsia="Calibri Light" w:cstheme="minorHAnsi"/>
          <w:color w:val="212121"/>
          <w:lang w:val="en-US"/>
        </w:rPr>
        <w:t xml:space="preserve"> in two rat EAMG models.</w:t>
      </w:r>
      <w:r w:rsidR="00B513DC">
        <w:rPr>
          <w:rFonts w:eastAsia="Calibri Light" w:cstheme="minorHAnsi"/>
          <w:color w:val="212121"/>
          <w:lang w:val="en-US"/>
        </w:rPr>
        <w:t xml:space="preserve"> [61]</w:t>
      </w:r>
      <w:r w:rsidRPr="00D748A6">
        <w:rPr>
          <w:rFonts w:eastAsia="Calibri Light" w:cstheme="minorHAnsi"/>
          <w:color w:val="212121"/>
          <w:lang w:val="en-US"/>
        </w:rPr>
        <w:t xml:space="preserve"> These studies demonstrated significant improvement</w:t>
      </w:r>
      <w:r>
        <w:rPr>
          <w:rFonts w:eastAsia="Calibri Light" w:cstheme="minorHAnsi"/>
          <w:color w:val="212121"/>
          <w:lang w:val="en-US"/>
        </w:rPr>
        <w:t xml:space="preserve"> in symptoms and signs</w:t>
      </w:r>
      <w:r w:rsidRPr="00D748A6">
        <w:rPr>
          <w:rFonts w:eastAsia="Calibri Light" w:cstheme="minorHAnsi"/>
          <w:color w:val="212121"/>
          <w:lang w:val="en-US"/>
        </w:rPr>
        <w:t xml:space="preserve"> (asthenia, tremors, mortality) and a substantial reduction in </w:t>
      </w:r>
      <w:proofErr w:type="spellStart"/>
      <w:r w:rsidRPr="00D748A6">
        <w:rPr>
          <w:rFonts w:eastAsia="Calibri Light" w:cstheme="minorHAnsi"/>
          <w:color w:val="212121"/>
          <w:lang w:val="en-US"/>
        </w:rPr>
        <w:t>AChR</w:t>
      </w:r>
      <w:proofErr w:type="spellEnd"/>
      <w:r w:rsidRPr="00D748A6">
        <w:rPr>
          <w:rFonts w:eastAsia="Calibri Light" w:cstheme="minorHAnsi"/>
          <w:color w:val="212121"/>
          <w:lang w:val="en-US"/>
        </w:rPr>
        <w:t xml:space="preserve"> antibody concentrations in both tested EAMG models.</w:t>
      </w:r>
      <w:r>
        <w:rPr>
          <w:rFonts w:eastAsia="Calibri Light" w:cstheme="minorHAnsi"/>
          <w:color w:val="212121"/>
          <w:lang w:val="en-US"/>
        </w:rPr>
        <w:t xml:space="preserve"> </w:t>
      </w:r>
      <w:r w:rsidRPr="00D748A6">
        <w:rPr>
          <w:rFonts w:eastAsia="Calibri Light" w:cstheme="minorHAnsi"/>
          <w:color w:val="212121"/>
          <w:lang w:val="en-US"/>
        </w:rPr>
        <w:t xml:space="preserve">Subsequent studies in primates and mice inoculated with different humanized anti-FcRn antibodies confirmed the selective reduction of IgG levels in animals. These studies led to the recent development of efgartigimod, a human IgG Fc fragment modified to enhance </w:t>
      </w:r>
      <w:r>
        <w:rPr>
          <w:rFonts w:eastAsia="Calibri Light" w:cstheme="minorHAnsi"/>
          <w:color w:val="212121"/>
          <w:lang w:val="en-US"/>
        </w:rPr>
        <w:t>the</w:t>
      </w:r>
      <w:r w:rsidRPr="00D748A6">
        <w:rPr>
          <w:rFonts w:eastAsia="Calibri Light" w:cstheme="minorHAnsi"/>
          <w:color w:val="212121"/>
          <w:lang w:val="en-US"/>
        </w:rPr>
        <w:t xml:space="preserve"> affinity for FcRn using the Antibodies That Enhance IgG Degradation (ABDEG)® technology.</w:t>
      </w:r>
      <w:r w:rsidR="00B513DC">
        <w:rPr>
          <w:rFonts w:eastAsia="Calibri Light" w:cstheme="minorHAnsi"/>
          <w:color w:val="212121"/>
          <w:lang w:val="en-US"/>
        </w:rPr>
        <w:t xml:space="preserve"> [62-65]</w:t>
      </w:r>
      <w:r w:rsidRPr="00D748A6">
        <w:rPr>
          <w:rFonts w:eastAsia="Calibri Light" w:cstheme="minorHAnsi"/>
          <w:color w:val="212121"/>
          <w:lang w:val="en-US"/>
        </w:rPr>
        <w:t xml:space="preserve"> Administering efgartigimod in monkeys resulted in a 75% reduction in circulating </w:t>
      </w:r>
      <w:proofErr w:type="spellStart"/>
      <w:r w:rsidRPr="00D748A6">
        <w:rPr>
          <w:rFonts w:eastAsia="Calibri Light" w:cstheme="minorHAnsi"/>
          <w:color w:val="212121"/>
          <w:lang w:val="en-US"/>
        </w:rPr>
        <w:t>IgGs</w:t>
      </w:r>
      <w:proofErr w:type="spellEnd"/>
      <w:r w:rsidRPr="00D748A6">
        <w:rPr>
          <w:rFonts w:eastAsia="Calibri Light" w:cstheme="minorHAnsi"/>
          <w:color w:val="212121"/>
          <w:lang w:val="en-US"/>
        </w:rPr>
        <w:t>, demonstrating the drug's efficacy in non-human primates.</w:t>
      </w:r>
      <w:r>
        <w:rPr>
          <w:rFonts w:eastAsia="Calibri Light" w:cstheme="minorHAnsi"/>
          <w:color w:val="212121"/>
          <w:lang w:val="en-US"/>
        </w:rPr>
        <w:t xml:space="preserve"> </w:t>
      </w:r>
      <w:r w:rsidRPr="00573AE9">
        <w:rPr>
          <w:rFonts w:eastAsia="Calibri Light" w:cstheme="minorHAnsi"/>
          <w:color w:val="212121"/>
          <w:lang w:val="en-US"/>
        </w:rPr>
        <w:t xml:space="preserve">Currently, only one preclinical study with efgartigimod in a murine EAMG model is available. In this study, the model was injected with purified IgG4 from </w:t>
      </w:r>
      <w:r>
        <w:rPr>
          <w:rFonts w:eastAsia="Calibri Light" w:cstheme="minorHAnsi"/>
          <w:color w:val="212121"/>
          <w:lang w:val="en-US"/>
        </w:rPr>
        <w:t>anti-</w:t>
      </w:r>
      <w:proofErr w:type="spellStart"/>
      <w:r w:rsidRPr="00573AE9">
        <w:rPr>
          <w:rFonts w:eastAsia="Calibri Light" w:cstheme="minorHAnsi"/>
          <w:color w:val="212121"/>
          <w:lang w:val="en-US"/>
        </w:rPr>
        <w:t>MuSK</w:t>
      </w:r>
      <w:proofErr w:type="spellEnd"/>
      <w:r w:rsidRPr="00573AE9">
        <w:rPr>
          <w:rFonts w:eastAsia="Calibri Light" w:cstheme="minorHAnsi"/>
          <w:color w:val="212121"/>
          <w:lang w:val="en-US"/>
        </w:rPr>
        <w:t xml:space="preserve">-positive MG patients to induce the disease and then treated with efgartigimod. </w:t>
      </w:r>
      <w:r>
        <w:rPr>
          <w:rFonts w:eastAsia="Calibri Light" w:cstheme="minorHAnsi"/>
          <w:color w:val="212121"/>
          <w:lang w:val="en-US"/>
        </w:rPr>
        <w:t>A</w:t>
      </w:r>
      <w:r w:rsidRPr="00573AE9">
        <w:rPr>
          <w:rFonts w:eastAsia="Calibri Light" w:cstheme="minorHAnsi"/>
          <w:color w:val="212121"/>
          <w:lang w:val="en-US"/>
        </w:rPr>
        <w:t xml:space="preserve"> significant decrease in human IgG titers approximately 8-fold compared to the control group, along with muscle strength recovery</w:t>
      </w:r>
      <w:r>
        <w:rPr>
          <w:rFonts w:eastAsia="Calibri Light" w:cstheme="minorHAnsi"/>
          <w:color w:val="212121"/>
          <w:lang w:val="en-US"/>
        </w:rPr>
        <w:t>, was observed</w:t>
      </w:r>
      <w:r w:rsidR="00B513DC">
        <w:rPr>
          <w:rFonts w:eastAsia="Calibri Light" w:cstheme="minorHAnsi"/>
          <w:color w:val="212121"/>
          <w:lang w:val="en-US"/>
        </w:rPr>
        <w:t xml:space="preserve"> [66]</w:t>
      </w:r>
      <w:r>
        <w:rPr>
          <w:rFonts w:eastAsia="Calibri Light" w:cstheme="minorHAnsi"/>
          <w:color w:val="212121"/>
          <w:lang w:val="en-US"/>
        </w:rPr>
        <w:t xml:space="preserve"> </w:t>
      </w:r>
      <w:r>
        <w:rPr>
          <w:lang w:val="en-US"/>
        </w:rPr>
        <w:t>(</w:t>
      </w:r>
      <w:r w:rsidRPr="00C8444B">
        <w:rPr>
          <w:b/>
          <w:bCs/>
          <w:lang w:val="en-US"/>
        </w:rPr>
        <w:t>Table 2</w:t>
      </w:r>
      <w:r>
        <w:rPr>
          <w:lang w:val="en-US"/>
        </w:rPr>
        <w:t>).</w:t>
      </w:r>
      <w:r w:rsidRPr="00573AE9">
        <w:rPr>
          <w:rFonts w:eastAsia="Calibri Light" w:cstheme="minorHAnsi"/>
          <w:color w:val="212121"/>
          <w:lang w:val="en-US"/>
        </w:rPr>
        <w:t xml:space="preserve"> </w:t>
      </w:r>
    </w:p>
    <w:p w14:paraId="089EC6E3" w14:textId="4704B126" w:rsidR="00E0319A" w:rsidRPr="00487C8B" w:rsidRDefault="00E0319A" w:rsidP="00E0319A">
      <w:pPr>
        <w:spacing w:after="0" w:line="276" w:lineRule="auto"/>
        <w:jc w:val="both"/>
        <w:rPr>
          <w:lang w:val="en-US"/>
        </w:rPr>
      </w:pPr>
      <w:r w:rsidRPr="00337D87">
        <w:rPr>
          <w:lang w:val="en-US"/>
        </w:rPr>
        <w:t xml:space="preserve">The </w:t>
      </w:r>
      <w:r>
        <w:rPr>
          <w:lang w:val="en-US"/>
        </w:rPr>
        <w:t xml:space="preserve">clinical </w:t>
      </w:r>
      <w:r w:rsidRPr="00337D87">
        <w:rPr>
          <w:lang w:val="en-US"/>
        </w:rPr>
        <w:t xml:space="preserve">efficacy of this drug for the treatment of </w:t>
      </w:r>
      <w:proofErr w:type="spellStart"/>
      <w:r>
        <w:rPr>
          <w:lang w:val="en-US"/>
        </w:rPr>
        <w:t>g</w:t>
      </w:r>
      <w:r w:rsidRPr="00337D87">
        <w:rPr>
          <w:lang w:val="en-US"/>
        </w:rPr>
        <w:t>MG</w:t>
      </w:r>
      <w:proofErr w:type="spellEnd"/>
      <w:r w:rsidRPr="00337D87">
        <w:rPr>
          <w:lang w:val="en-US"/>
        </w:rPr>
        <w:t xml:space="preserve"> was evaluated in the ADAPT trial (NCT03669588), a multicenter, double-blind, placebo-controlled phase III </w:t>
      </w:r>
      <w:r>
        <w:rPr>
          <w:lang w:val="en-US"/>
        </w:rPr>
        <w:t>RCT</w:t>
      </w:r>
      <w:r w:rsidRPr="00337D87">
        <w:rPr>
          <w:lang w:val="en-US"/>
        </w:rPr>
        <w:t xml:space="preserve"> lasting 26 weeks.</w:t>
      </w:r>
      <w:r w:rsidR="000B41BD">
        <w:rPr>
          <w:lang w:val="en-US"/>
        </w:rPr>
        <w:t xml:space="preserve"> [67]</w:t>
      </w:r>
      <w:r w:rsidRPr="00337D87">
        <w:rPr>
          <w:lang w:val="en-US"/>
        </w:rPr>
        <w:t xml:space="preserve"> This trial enrolled 167 patients aged ≥ 18 years with a diagnosis of </w:t>
      </w:r>
      <w:proofErr w:type="spellStart"/>
      <w:r>
        <w:rPr>
          <w:lang w:val="en-US"/>
        </w:rPr>
        <w:t>g</w:t>
      </w:r>
      <w:r w:rsidRPr="00337D87">
        <w:rPr>
          <w:lang w:val="en-US"/>
        </w:rPr>
        <w:t>MG</w:t>
      </w:r>
      <w:proofErr w:type="spellEnd"/>
      <w:r w:rsidRPr="00337D87">
        <w:rPr>
          <w:lang w:val="en-US"/>
        </w:rPr>
        <w:t xml:space="preserve">, a score of ≥ 5 on the MG-ADL scale, and severity class II-IV according to the MGFA classification. Patients were </w:t>
      </w:r>
      <w:r>
        <w:rPr>
          <w:lang w:val="en-US"/>
        </w:rPr>
        <w:t>treated with</w:t>
      </w:r>
      <w:r w:rsidRPr="00337D87">
        <w:rPr>
          <w:lang w:val="en-US"/>
        </w:rPr>
        <w:t xml:space="preserve"> stable doses of at least one </w:t>
      </w:r>
      <w:proofErr w:type="spellStart"/>
      <w:r>
        <w:rPr>
          <w:lang w:val="en-US"/>
        </w:rPr>
        <w:t>g</w:t>
      </w:r>
      <w:r w:rsidRPr="00337D87">
        <w:rPr>
          <w:lang w:val="en-US"/>
        </w:rPr>
        <w:t>MG</w:t>
      </w:r>
      <w:proofErr w:type="spellEnd"/>
      <w:r w:rsidRPr="00337D87">
        <w:rPr>
          <w:lang w:val="en-US"/>
        </w:rPr>
        <w:t xml:space="preserve"> treatment (acetylcholinesterase inhibitors, corticosteroids, or other immunomodulatory therapy, alone or in </w:t>
      </w:r>
      <w:r w:rsidRPr="00337D87">
        <w:rPr>
          <w:lang w:val="en-US"/>
        </w:rPr>
        <w:lastRenderedPageBreak/>
        <w:t>combination). Patients were randomized in a 1:1 ratio to receive efgartigimod treatment at 10 mg/kg (N=84 patients) or placebo (N=83 patients), administered in four infusions per treatment cycle (</w:t>
      </w:r>
      <w:r>
        <w:rPr>
          <w:lang w:val="en-US"/>
        </w:rPr>
        <w:t xml:space="preserve">i.e., </w:t>
      </w:r>
      <w:r w:rsidRPr="00337D87">
        <w:rPr>
          <w:lang w:val="en-US"/>
        </w:rPr>
        <w:t xml:space="preserve">one infusion per week). The primary endpoint for efficacy evaluation was the proportion of </w:t>
      </w:r>
      <w:proofErr w:type="spellStart"/>
      <w:r w:rsidRPr="00337D87">
        <w:rPr>
          <w:lang w:val="en-US"/>
        </w:rPr>
        <w:t>AChR</w:t>
      </w:r>
      <w:proofErr w:type="spellEnd"/>
      <w:r w:rsidRPr="00337D87">
        <w:rPr>
          <w:lang w:val="en-US"/>
        </w:rPr>
        <w:t xml:space="preserve"> antibody-positive patients defined as responders according to the MG-ADL scale (i.e., those patients showing an improvement of </w:t>
      </w:r>
      <w:r>
        <w:rPr>
          <w:rFonts w:cstheme="minorHAnsi"/>
          <w:lang w:val="en-US"/>
        </w:rPr>
        <w:t>≥</w:t>
      </w:r>
      <w:r>
        <w:rPr>
          <w:lang w:val="en-US"/>
        </w:rPr>
        <w:t xml:space="preserve"> </w:t>
      </w:r>
      <w:r w:rsidRPr="00337D87">
        <w:rPr>
          <w:lang w:val="en-US"/>
        </w:rPr>
        <w:t>2 points on the MG-ADL scale by the end of the fourth week of the first treatment cycle, sustained for at least 4 consecutive weeks).</w:t>
      </w:r>
      <w:r>
        <w:rPr>
          <w:lang w:val="en-US"/>
        </w:rPr>
        <w:t xml:space="preserve"> </w:t>
      </w:r>
      <w:r w:rsidRPr="00B22231">
        <w:rPr>
          <w:lang w:val="en-US"/>
        </w:rPr>
        <w:t xml:space="preserve">Five secondary endpoints were evaluated: (1) the proportion of </w:t>
      </w:r>
      <w:proofErr w:type="spellStart"/>
      <w:r w:rsidRPr="00B22231">
        <w:rPr>
          <w:lang w:val="en-US"/>
        </w:rPr>
        <w:t>AChR</w:t>
      </w:r>
      <w:proofErr w:type="spellEnd"/>
      <w:r w:rsidRPr="00B22231">
        <w:rPr>
          <w:lang w:val="en-US"/>
        </w:rPr>
        <w:t xml:space="preserve"> antibody-positive responders according to the QMG scale (i.e., those patients showing an improvement of at least 3 points on the QMG scale by the end of the fourth week of the first treatment cycle, sustained for at least 4 consecutive weeks); (2) the proportion of MG-ADL responders during the first treatment cycle in the entire trial population; (3) duration of the effect on MG-ADL scale score among </w:t>
      </w:r>
      <w:proofErr w:type="spellStart"/>
      <w:r w:rsidRPr="00B22231">
        <w:rPr>
          <w:lang w:val="en-US"/>
        </w:rPr>
        <w:t>AChR</w:t>
      </w:r>
      <w:proofErr w:type="spellEnd"/>
      <w:r w:rsidRPr="00B22231">
        <w:rPr>
          <w:lang w:val="en-US"/>
        </w:rPr>
        <w:t xml:space="preserve"> antibody-positive patients up to day 126; (4) time from the week after the fourth infusion to the absence of clinically meaningful improvement in the </w:t>
      </w:r>
      <w:proofErr w:type="spellStart"/>
      <w:r w:rsidRPr="00B22231">
        <w:rPr>
          <w:lang w:val="en-US"/>
        </w:rPr>
        <w:t>AChR</w:t>
      </w:r>
      <w:proofErr w:type="spellEnd"/>
      <w:r w:rsidRPr="00B22231">
        <w:rPr>
          <w:lang w:val="en-US"/>
        </w:rPr>
        <w:t xml:space="preserve"> antibody-positive patient population; and (5) the proportion of early treatment responders (i.e., patients with improvement ≥ 2 points on the MG-ADL scale at the second week) among </w:t>
      </w:r>
      <w:proofErr w:type="spellStart"/>
      <w:r w:rsidRPr="00B22231">
        <w:rPr>
          <w:lang w:val="en-US"/>
        </w:rPr>
        <w:t>AChR</w:t>
      </w:r>
      <w:proofErr w:type="spellEnd"/>
      <w:r w:rsidRPr="00B22231">
        <w:rPr>
          <w:lang w:val="en-US"/>
        </w:rPr>
        <w:t xml:space="preserve"> antibody-positive patients.</w:t>
      </w:r>
      <w:r>
        <w:rPr>
          <w:lang w:val="en-US"/>
        </w:rPr>
        <w:t xml:space="preserve"> Overall, 152 patients completed the treatment cycles. </w:t>
      </w:r>
      <w:r w:rsidRPr="00B22231">
        <w:rPr>
          <w:lang w:val="en-US"/>
        </w:rPr>
        <w:t xml:space="preserve">The results of this study showed that out of a total of 129 </w:t>
      </w:r>
      <w:proofErr w:type="spellStart"/>
      <w:r w:rsidRPr="00B22231">
        <w:rPr>
          <w:lang w:val="en-US"/>
        </w:rPr>
        <w:t>AChR</w:t>
      </w:r>
      <w:proofErr w:type="spellEnd"/>
      <w:r w:rsidRPr="00B22231">
        <w:rPr>
          <w:lang w:val="en-US"/>
        </w:rPr>
        <w:t xml:space="preserve"> antibody-positive patients, a higher proportion of responders was observed among patients treated with efgartigimod (44 out of 65; 68%) compared to those treated with placebo (19 out of 64; 30%), with an odds ratio of 4.95 </w:t>
      </w:r>
      <w:r>
        <w:rPr>
          <w:lang w:val="en-US"/>
        </w:rPr>
        <w:t>(</w:t>
      </w:r>
      <w:r w:rsidRPr="00B22231">
        <w:rPr>
          <w:lang w:val="en-US"/>
        </w:rPr>
        <w:t>95% confidence interval (95% CI): 2.21-11.53</w:t>
      </w:r>
      <w:r>
        <w:rPr>
          <w:lang w:val="en-US"/>
        </w:rPr>
        <w:t>)</w:t>
      </w:r>
      <w:r w:rsidRPr="00B22231">
        <w:rPr>
          <w:lang w:val="en-US"/>
        </w:rPr>
        <w:t xml:space="preserve">. Efgartigimod was significantly more effective than placebo for all secondary endpoints, except for the time from the week after the fourth infusion to the absence of clinically meaningful improvement in the </w:t>
      </w:r>
      <w:proofErr w:type="spellStart"/>
      <w:r w:rsidRPr="00B22231">
        <w:rPr>
          <w:lang w:val="en-US"/>
        </w:rPr>
        <w:t>AChR</w:t>
      </w:r>
      <w:proofErr w:type="spellEnd"/>
      <w:r w:rsidRPr="00B22231">
        <w:rPr>
          <w:lang w:val="en-US"/>
        </w:rPr>
        <w:t xml:space="preserve"> antibody-positive patient population.</w:t>
      </w:r>
      <w:r>
        <w:rPr>
          <w:lang w:val="en-US"/>
        </w:rPr>
        <w:t xml:space="preserve"> As for the safety profile, a lower frequency of adverse events was observed among patients receiving efgartigimod (77%) as compared to those receiving placebo (84%). The most common adverse events in both groups were </w:t>
      </w:r>
      <w:r w:rsidRPr="00487C8B">
        <w:rPr>
          <w:lang w:val="en-US"/>
        </w:rPr>
        <w:t>headache, nasopharyngitis, nausea, diarrhea, upper</w:t>
      </w:r>
      <w:r>
        <w:rPr>
          <w:lang w:val="en-US"/>
        </w:rPr>
        <w:t xml:space="preserve"> </w:t>
      </w:r>
      <w:r w:rsidRPr="00487C8B">
        <w:rPr>
          <w:lang w:val="en-US"/>
        </w:rPr>
        <w:t>respiratory tract infections, and urinary tract infections</w:t>
      </w:r>
      <w:r>
        <w:rPr>
          <w:lang w:val="en-US"/>
        </w:rPr>
        <w:t>.</w:t>
      </w:r>
      <w:r w:rsidR="000B41BD">
        <w:rPr>
          <w:lang w:val="en-US"/>
        </w:rPr>
        <w:t xml:space="preserve"> [67]</w:t>
      </w:r>
    </w:p>
    <w:p w14:paraId="4E40B0BB" w14:textId="7E84D330" w:rsidR="00E0319A" w:rsidRDefault="00E0319A" w:rsidP="00E0319A">
      <w:pPr>
        <w:spacing w:after="0" w:line="276" w:lineRule="auto"/>
        <w:jc w:val="both"/>
        <w:rPr>
          <w:lang w:val="en-US"/>
        </w:rPr>
      </w:pPr>
      <w:r w:rsidRPr="00B22231">
        <w:rPr>
          <w:lang w:val="en-US"/>
        </w:rPr>
        <w:t xml:space="preserve">An ongoing open-label extension study with a maximum estimated duration of 128 weeks is currently in progress (NCT04980495) to evaluate the long-term efficacy and safety of efgartigimod, </w:t>
      </w:r>
      <w:r>
        <w:rPr>
          <w:lang w:val="en-US"/>
        </w:rPr>
        <w:t>and no</w:t>
      </w:r>
      <w:r w:rsidRPr="00B22231">
        <w:rPr>
          <w:lang w:val="en-US"/>
        </w:rPr>
        <w:t xml:space="preserve"> results have been published yet.</w:t>
      </w:r>
      <w:r>
        <w:rPr>
          <w:lang w:val="en-US"/>
        </w:rPr>
        <w:t xml:space="preserve"> </w:t>
      </w:r>
      <w:bookmarkStart w:id="11" w:name="_Hlk150511771"/>
      <w:r>
        <w:rPr>
          <w:lang w:val="en-US"/>
        </w:rPr>
        <w:t xml:space="preserve">A recent multicenter retrospective study evaluating the real-word safety and effectiveness of efgartigimod on 37 MG patients </w:t>
      </w:r>
      <w:r w:rsidRPr="00337D87">
        <w:rPr>
          <w:lang w:val="en-US"/>
        </w:rPr>
        <w:t xml:space="preserve">positive for </w:t>
      </w:r>
      <w:proofErr w:type="spellStart"/>
      <w:r w:rsidRPr="00337D87">
        <w:rPr>
          <w:lang w:val="en-US"/>
        </w:rPr>
        <w:t>AChR</w:t>
      </w:r>
      <w:proofErr w:type="spellEnd"/>
      <w:r w:rsidRPr="00337D87">
        <w:rPr>
          <w:lang w:val="en-US"/>
        </w:rPr>
        <w:t xml:space="preserve"> antibodies</w:t>
      </w:r>
      <w:r>
        <w:rPr>
          <w:lang w:val="en-US"/>
        </w:rPr>
        <w:t xml:space="preserve"> showed that this drug led to a clinically significant improvement in MG-ADL scores for 72% of them and to a 61% reduction in IgG levels after the first cycle.</w:t>
      </w:r>
      <w:r w:rsidR="000B41BD">
        <w:rPr>
          <w:lang w:val="en-US"/>
        </w:rPr>
        <w:t xml:space="preserve"> [68]</w:t>
      </w:r>
      <w:r>
        <w:rPr>
          <w:lang w:val="en-US"/>
        </w:rPr>
        <w:t xml:space="preserve"> As for the safety, treatment was generally well tolerated; one patient had to discontinue the treatment because of a relapse of </w:t>
      </w:r>
      <w:r w:rsidRPr="00C8444B">
        <w:rPr>
          <w:i/>
          <w:iCs/>
          <w:lang w:val="en-US"/>
        </w:rPr>
        <w:t>Clostridium difficile</w:t>
      </w:r>
      <w:r>
        <w:rPr>
          <w:lang w:val="en-US"/>
        </w:rPr>
        <w:t xml:space="preserve"> infection, and two patients experienced mild upper respiratory infections, but they did not discontinue the </w:t>
      </w:r>
      <w:bookmarkEnd w:id="11"/>
      <w:r>
        <w:rPr>
          <w:lang w:val="en-US"/>
        </w:rPr>
        <w:t>treatment.</w:t>
      </w:r>
      <w:r w:rsidR="000B41BD">
        <w:rPr>
          <w:lang w:val="en-US"/>
        </w:rPr>
        <w:t xml:space="preserve"> [68]</w:t>
      </w:r>
    </w:p>
    <w:p w14:paraId="1C4353C2" w14:textId="77777777" w:rsidR="00E0319A" w:rsidRDefault="00E0319A" w:rsidP="00E0319A">
      <w:pPr>
        <w:spacing w:after="0" w:line="276" w:lineRule="auto"/>
        <w:jc w:val="both"/>
        <w:rPr>
          <w:lang w:val="en-US"/>
        </w:rPr>
      </w:pPr>
    </w:p>
    <w:p w14:paraId="039326B5" w14:textId="4E33E081" w:rsidR="00E0319A" w:rsidRPr="00E0319A" w:rsidRDefault="00E0319A" w:rsidP="00E0319A">
      <w:pPr>
        <w:pStyle w:val="Paragrafoelenco"/>
        <w:numPr>
          <w:ilvl w:val="1"/>
          <w:numId w:val="6"/>
        </w:numPr>
        <w:spacing w:after="0" w:line="276" w:lineRule="auto"/>
        <w:jc w:val="both"/>
        <w:rPr>
          <w:b/>
          <w:bCs/>
          <w:lang w:val="en-US"/>
        </w:rPr>
      </w:pPr>
      <w:proofErr w:type="spellStart"/>
      <w:r w:rsidRPr="00E0319A">
        <w:rPr>
          <w:b/>
          <w:bCs/>
          <w:lang w:val="en-US"/>
        </w:rPr>
        <w:t>Rozanolixizumab</w:t>
      </w:r>
      <w:proofErr w:type="spellEnd"/>
    </w:p>
    <w:p w14:paraId="3F409970" w14:textId="50EA6834" w:rsidR="00E0319A" w:rsidRDefault="00E0319A" w:rsidP="00E0319A">
      <w:pPr>
        <w:spacing w:after="0" w:line="276" w:lineRule="auto"/>
        <w:jc w:val="both"/>
        <w:rPr>
          <w:lang w:val="en-US"/>
        </w:rPr>
      </w:pPr>
      <w:proofErr w:type="spellStart"/>
      <w:r w:rsidRPr="006001CE">
        <w:rPr>
          <w:lang w:val="en-US"/>
        </w:rPr>
        <w:t>Rozanolixizumab</w:t>
      </w:r>
      <w:proofErr w:type="spellEnd"/>
      <w:r w:rsidRPr="006001CE">
        <w:rPr>
          <w:lang w:val="en-US"/>
        </w:rPr>
        <w:t xml:space="preserve"> (UCB7665) </w:t>
      </w:r>
      <w:r w:rsidRPr="00921039">
        <w:rPr>
          <w:lang w:val="en-US"/>
        </w:rPr>
        <w:t>is a humanized high-affinity anti-human FcRn monoclonal antibody</w:t>
      </w:r>
      <w:r w:rsidR="00FB0C1B">
        <w:rPr>
          <w:lang w:val="en-US"/>
        </w:rPr>
        <w:t xml:space="preserve"> [69].</w:t>
      </w:r>
      <w:r w:rsidRPr="006001CE">
        <w:rPr>
          <w:lang w:val="en-GB"/>
        </w:rPr>
        <w:t xml:space="preserve"> In human FcRn transgenic mice, </w:t>
      </w:r>
      <w:proofErr w:type="spellStart"/>
      <w:r w:rsidRPr="006001CE">
        <w:rPr>
          <w:lang w:val="en-GB"/>
        </w:rPr>
        <w:t>rozanolixizumab</w:t>
      </w:r>
      <w:proofErr w:type="spellEnd"/>
      <w:r w:rsidRPr="006001CE">
        <w:rPr>
          <w:lang w:val="en-GB"/>
        </w:rPr>
        <w:t xml:space="preserve"> induced a rapid decrease in plasma IgG without adverse events (PMID: 30130439). Two studies are reported on cynomolgus monkeys. The first one - a</w:t>
      </w:r>
      <w:r w:rsidRPr="00921039">
        <w:rPr>
          <w:lang w:val="en-US"/>
        </w:rPr>
        <w:t xml:space="preserve"> 4-week toxicology study</w:t>
      </w:r>
      <w:r>
        <w:rPr>
          <w:lang w:val="en-US"/>
        </w:rPr>
        <w:t xml:space="preserve"> -</w:t>
      </w:r>
      <w:r w:rsidRPr="00921039">
        <w:rPr>
          <w:lang w:val="en-US"/>
        </w:rPr>
        <w:t xml:space="preserve"> </w:t>
      </w:r>
      <w:r>
        <w:rPr>
          <w:lang w:val="en-US"/>
        </w:rPr>
        <w:t>was conducted t</w:t>
      </w:r>
      <w:r w:rsidRPr="00921039">
        <w:rPr>
          <w:lang w:val="en-US"/>
        </w:rPr>
        <w:t xml:space="preserve">o evaluate the potential toxicity, and PD of high </w:t>
      </w:r>
      <w:r>
        <w:rPr>
          <w:lang w:val="en-US"/>
        </w:rPr>
        <w:t xml:space="preserve">(50-150 mg/Kg) </w:t>
      </w:r>
      <w:r w:rsidRPr="00921039">
        <w:rPr>
          <w:lang w:val="en-US"/>
        </w:rPr>
        <w:t xml:space="preserve">and repeated doses of </w:t>
      </w:r>
      <w:proofErr w:type="spellStart"/>
      <w:r w:rsidRPr="00921039">
        <w:rPr>
          <w:lang w:val="en-US"/>
        </w:rPr>
        <w:t>rozanolixizumab</w:t>
      </w:r>
      <w:proofErr w:type="spellEnd"/>
      <w:r>
        <w:rPr>
          <w:lang w:val="en-US"/>
        </w:rPr>
        <w:t xml:space="preserve">. </w:t>
      </w:r>
      <w:r w:rsidRPr="00921039">
        <w:rPr>
          <w:lang w:val="en-US"/>
        </w:rPr>
        <w:t xml:space="preserve">Marked decreases (75 to 90% from baseline) in plasma IgG concentrations were observed in all animals </w:t>
      </w:r>
      <w:r>
        <w:rPr>
          <w:lang w:val="en-US"/>
        </w:rPr>
        <w:t xml:space="preserve">with both dosages; </w:t>
      </w:r>
      <w:proofErr w:type="spellStart"/>
      <w:r>
        <w:rPr>
          <w:lang w:val="en-US"/>
        </w:rPr>
        <w:t>r</w:t>
      </w:r>
      <w:r w:rsidRPr="003F4956">
        <w:rPr>
          <w:lang w:val="en-US"/>
        </w:rPr>
        <w:t>ozanolixizumab</w:t>
      </w:r>
      <w:proofErr w:type="spellEnd"/>
      <w:r>
        <w:rPr>
          <w:lang w:val="en-US"/>
        </w:rPr>
        <w:t xml:space="preserve"> </w:t>
      </w:r>
      <w:r w:rsidRPr="00921039">
        <w:rPr>
          <w:lang w:val="en-US"/>
        </w:rPr>
        <w:t>was well tolerated and did not increase risk of infection</w:t>
      </w:r>
      <w:r>
        <w:rPr>
          <w:lang w:val="en-US"/>
        </w:rPr>
        <w:t xml:space="preserve"> (</w:t>
      </w:r>
      <w:r w:rsidRPr="00921039">
        <w:rPr>
          <w:lang w:val="en-US"/>
        </w:rPr>
        <w:t>PMID: 29093180</w:t>
      </w:r>
      <w:r>
        <w:rPr>
          <w:lang w:val="en-US"/>
        </w:rPr>
        <w:t>). In the second study, low dose (</w:t>
      </w:r>
      <w:r w:rsidRPr="006001CE">
        <w:rPr>
          <w:lang w:val="en-GB"/>
        </w:rPr>
        <w:t>initial 30 mg/kg loading dose; 5 mg/kg daily thereafter)</w:t>
      </w:r>
      <w:r>
        <w:rPr>
          <w:lang w:val="en-US"/>
        </w:rPr>
        <w:t xml:space="preserve">, </w:t>
      </w:r>
      <w:r w:rsidRPr="006001CE">
        <w:rPr>
          <w:lang w:val="en-GB"/>
        </w:rPr>
        <w:t xml:space="preserve">IV administration of </w:t>
      </w:r>
      <w:proofErr w:type="spellStart"/>
      <w:r w:rsidRPr="006001CE">
        <w:rPr>
          <w:lang w:val="en-GB"/>
        </w:rPr>
        <w:t>rozanolixizumab</w:t>
      </w:r>
      <w:proofErr w:type="spellEnd"/>
      <w:r w:rsidRPr="006001CE">
        <w:rPr>
          <w:lang w:val="en-GB"/>
        </w:rPr>
        <w:t xml:space="preserve"> effectively and persistently reduced plasma IgG concentration in all animals throughout the treatment (42 days). Of note, anti‐drug antibodies directed against </w:t>
      </w:r>
      <w:proofErr w:type="spellStart"/>
      <w:r w:rsidRPr="006001CE">
        <w:rPr>
          <w:lang w:val="en-GB"/>
        </w:rPr>
        <w:t>rozanolixizumab</w:t>
      </w:r>
      <w:proofErr w:type="spellEnd"/>
      <w:r w:rsidRPr="006001CE">
        <w:rPr>
          <w:lang w:val="en-GB"/>
        </w:rPr>
        <w:t xml:space="preserve"> were detected in </w:t>
      </w:r>
      <w:proofErr w:type="gramStart"/>
      <w:r w:rsidRPr="006001CE">
        <w:rPr>
          <w:lang w:val="en-GB"/>
        </w:rPr>
        <w:t>the majority of</w:t>
      </w:r>
      <w:proofErr w:type="gramEnd"/>
      <w:r w:rsidRPr="006001CE">
        <w:rPr>
          <w:lang w:val="en-GB"/>
        </w:rPr>
        <w:t xml:space="preserve"> the animals, without impacting PK and PD. Finally, a prolonged 13-week toxicology study (≤ 150 mg/kg every 3 days) confirmed sustained (but reversible) reductions in IgG concentrations by up to 85%, with no adverse events.</w:t>
      </w:r>
      <w:r w:rsidR="00FB0C1B">
        <w:rPr>
          <w:lang w:val="en-GB"/>
        </w:rPr>
        <w:t xml:space="preserve"> [63]</w:t>
      </w:r>
      <w:r w:rsidRPr="006001CE">
        <w:rPr>
          <w:lang w:val="en-GB"/>
        </w:rPr>
        <w:t xml:space="preserve"> The results of these studies culminated in the </w:t>
      </w:r>
      <w:r w:rsidRPr="006001CE">
        <w:rPr>
          <w:lang w:val="en-GB"/>
        </w:rPr>
        <w:lastRenderedPageBreak/>
        <w:t xml:space="preserve">development of a successfully predictive, semi mechanistic translational PK/PD preclinical model of the IgG response to </w:t>
      </w:r>
      <w:proofErr w:type="spellStart"/>
      <w:r w:rsidRPr="006001CE">
        <w:rPr>
          <w:lang w:val="en-GB"/>
        </w:rPr>
        <w:t>rozanolixizumab</w:t>
      </w:r>
      <w:proofErr w:type="spellEnd"/>
      <w:r w:rsidRPr="006001CE">
        <w:rPr>
          <w:lang w:val="en-GB"/>
        </w:rPr>
        <w:t xml:space="preserve"> in humans.</w:t>
      </w:r>
      <w:r w:rsidR="00FB0C1B">
        <w:rPr>
          <w:lang w:val="en-GB"/>
        </w:rPr>
        <w:t xml:space="preserve"> [70]</w:t>
      </w:r>
    </w:p>
    <w:p w14:paraId="2C4B338F" w14:textId="77777777" w:rsidR="00E0319A" w:rsidRPr="006B391B" w:rsidRDefault="00E0319A" w:rsidP="00E0319A">
      <w:pPr>
        <w:spacing w:after="0" w:line="276" w:lineRule="auto"/>
        <w:jc w:val="both"/>
        <w:rPr>
          <w:lang w:val="en-US"/>
        </w:rPr>
      </w:pPr>
      <w:r>
        <w:rPr>
          <w:lang w:val="en-US"/>
        </w:rPr>
        <w:t xml:space="preserve">This drug has been approved by the FDA in June 2023 and by the EMA in November 2023 for the treatment of </w:t>
      </w:r>
      <w:proofErr w:type="spellStart"/>
      <w:r>
        <w:rPr>
          <w:lang w:val="en-US"/>
        </w:rPr>
        <w:t>gMG</w:t>
      </w:r>
      <w:proofErr w:type="spellEnd"/>
      <w:r w:rsidRPr="00470303">
        <w:rPr>
          <w:lang w:val="en-US"/>
        </w:rPr>
        <w:t xml:space="preserve"> in adults who are anti-</w:t>
      </w:r>
      <w:r w:rsidRPr="00470303">
        <w:rPr>
          <w:color w:val="000000"/>
          <w:lang w:val="en-US"/>
        </w:rPr>
        <w:t xml:space="preserve"> </w:t>
      </w:r>
      <w:proofErr w:type="spellStart"/>
      <w:r>
        <w:rPr>
          <w:color w:val="000000"/>
          <w:lang w:val="en-US"/>
        </w:rPr>
        <w:t>AchR</w:t>
      </w:r>
      <w:proofErr w:type="spellEnd"/>
      <w:r w:rsidRPr="00470303">
        <w:rPr>
          <w:lang w:val="en-US"/>
        </w:rPr>
        <w:t xml:space="preserve"> - or anti-</w:t>
      </w:r>
      <w:r w:rsidRPr="00470303">
        <w:rPr>
          <w:color w:val="000000"/>
          <w:lang w:val="en-US"/>
        </w:rPr>
        <w:t xml:space="preserve"> </w:t>
      </w:r>
      <w:proofErr w:type="spellStart"/>
      <w:r w:rsidRPr="009230FE">
        <w:rPr>
          <w:color w:val="000000"/>
          <w:lang w:val="en-US"/>
        </w:rPr>
        <w:t>MuSK</w:t>
      </w:r>
      <w:proofErr w:type="spellEnd"/>
      <w:r w:rsidRPr="00470303">
        <w:rPr>
          <w:lang w:val="en-US"/>
        </w:rPr>
        <w:t xml:space="preserve"> antibody-positive</w:t>
      </w:r>
      <w:r>
        <w:rPr>
          <w:lang w:val="en-US"/>
        </w:rPr>
        <w:t>.</w:t>
      </w:r>
    </w:p>
    <w:p w14:paraId="5C05AE91" w14:textId="44CA37D5" w:rsidR="00E0319A" w:rsidRPr="008B1A84" w:rsidRDefault="00E0319A" w:rsidP="00E0319A">
      <w:pPr>
        <w:spacing w:after="0" w:line="276" w:lineRule="auto"/>
        <w:jc w:val="both"/>
        <w:rPr>
          <w:lang w:val="en-US"/>
        </w:rPr>
      </w:pPr>
      <w:r w:rsidRPr="008B1A84">
        <w:rPr>
          <w:lang w:val="en-US"/>
        </w:rPr>
        <w:t xml:space="preserve">The </w:t>
      </w:r>
      <w:r>
        <w:rPr>
          <w:lang w:val="en-US"/>
        </w:rPr>
        <w:t xml:space="preserve">clinical </w:t>
      </w:r>
      <w:r w:rsidRPr="008B1A84">
        <w:rPr>
          <w:lang w:val="en-US"/>
        </w:rPr>
        <w:t xml:space="preserve">efficacy of </w:t>
      </w:r>
      <w:proofErr w:type="spellStart"/>
      <w:r w:rsidRPr="008B1A84">
        <w:rPr>
          <w:lang w:val="en-US"/>
        </w:rPr>
        <w:t>rozanolixizumab</w:t>
      </w:r>
      <w:proofErr w:type="spellEnd"/>
      <w:r w:rsidRPr="008B1A84">
        <w:rPr>
          <w:lang w:val="en-US"/>
        </w:rPr>
        <w:t xml:space="preserve"> was evaluated in the </w:t>
      </w:r>
      <w:proofErr w:type="spellStart"/>
      <w:r w:rsidRPr="008B1A84">
        <w:rPr>
          <w:lang w:val="en-US"/>
        </w:rPr>
        <w:t>MycarinG</w:t>
      </w:r>
      <w:proofErr w:type="spellEnd"/>
      <w:r w:rsidRPr="008B1A84">
        <w:rPr>
          <w:lang w:val="en-US"/>
        </w:rPr>
        <w:t xml:space="preserve"> study, a Phase III, randomized, double-blind, placebo-controlled clinical trial that enrolled 200 patients aged ≥ 18 years with positive </w:t>
      </w:r>
      <w:proofErr w:type="spellStart"/>
      <w:r>
        <w:rPr>
          <w:lang w:val="en-US"/>
        </w:rPr>
        <w:t>g</w:t>
      </w:r>
      <w:r w:rsidRPr="008B1A84">
        <w:rPr>
          <w:lang w:val="en-US"/>
        </w:rPr>
        <w:t>MG</w:t>
      </w:r>
      <w:proofErr w:type="spellEnd"/>
      <w:r w:rsidRPr="008B1A84">
        <w:rPr>
          <w:lang w:val="en-US"/>
        </w:rPr>
        <w:t xml:space="preserve"> for </w:t>
      </w:r>
      <w:proofErr w:type="spellStart"/>
      <w:r w:rsidRPr="008B1A84">
        <w:rPr>
          <w:lang w:val="en-US"/>
        </w:rPr>
        <w:t>AChR</w:t>
      </w:r>
      <w:proofErr w:type="spellEnd"/>
      <w:r w:rsidRPr="008B1A84">
        <w:rPr>
          <w:lang w:val="en-US"/>
        </w:rPr>
        <w:t xml:space="preserve"> or </w:t>
      </w:r>
      <w:proofErr w:type="spellStart"/>
      <w:r w:rsidRPr="008B1A84">
        <w:rPr>
          <w:lang w:val="en-US"/>
        </w:rPr>
        <w:t>MuSK</w:t>
      </w:r>
      <w:proofErr w:type="spellEnd"/>
      <w:r w:rsidRPr="008B1A84">
        <w:rPr>
          <w:lang w:val="en-US"/>
        </w:rPr>
        <w:t xml:space="preserve"> antibodies.</w:t>
      </w:r>
      <w:r w:rsidR="00FB0C1B">
        <w:rPr>
          <w:lang w:val="en-US"/>
        </w:rPr>
        <w:t xml:space="preserve"> [71]</w:t>
      </w:r>
      <w:r w:rsidRPr="008B1A84">
        <w:rPr>
          <w:lang w:val="en-US"/>
        </w:rPr>
        <w:t xml:space="preserve"> Of the enrolled patients, 66 were randomized to receive </w:t>
      </w:r>
      <w:proofErr w:type="spellStart"/>
      <w:r w:rsidRPr="008B1A84">
        <w:rPr>
          <w:lang w:val="en-US"/>
        </w:rPr>
        <w:t>rozanolixizumab</w:t>
      </w:r>
      <w:proofErr w:type="spellEnd"/>
      <w:r w:rsidRPr="008B1A84">
        <w:rPr>
          <w:lang w:val="en-US"/>
        </w:rPr>
        <w:t xml:space="preserve"> 7 mg/kg, 67 to receive </w:t>
      </w:r>
      <w:proofErr w:type="spellStart"/>
      <w:r w:rsidRPr="008B1A84">
        <w:rPr>
          <w:lang w:val="en-US"/>
        </w:rPr>
        <w:t>rozanolixizumab</w:t>
      </w:r>
      <w:proofErr w:type="spellEnd"/>
      <w:r w:rsidRPr="008B1A84">
        <w:rPr>
          <w:lang w:val="en-US"/>
        </w:rPr>
        <w:t xml:space="preserve"> 10 mg/kg, and 67 to receive placebo, subcutaneously once a week for 6 weeks. The primary outcome for assessing drug efficacy was the change from baseline in MG-ADL scale scores on day 43. </w:t>
      </w:r>
      <w:r>
        <w:rPr>
          <w:lang w:val="en-US"/>
        </w:rPr>
        <w:t xml:space="preserve">Overall, 128 patients completed the study. </w:t>
      </w:r>
      <w:r w:rsidRPr="008B1A84">
        <w:rPr>
          <w:lang w:val="en-US"/>
        </w:rPr>
        <w:t xml:space="preserve">The results of this trial showed that both </w:t>
      </w:r>
      <w:proofErr w:type="spellStart"/>
      <w:r w:rsidRPr="008B1A84">
        <w:rPr>
          <w:lang w:val="en-US"/>
        </w:rPr>
        <w:t>rozanolixizumab</w:t>
      </w:r>
      <w:proofErr w:type="spellEnd"/>
      <w:r w:rsidRPr="008B1A84">
        <w:rPr>
          <w:lang w:val="en-US"/>
        </w:rPr>
        <w:t xml:space="preserve"> dosages were associated with statistically and clinically significant improvements compared to placebo. </w:t>
      </w:r>
      <w:proofErr w:type="spellStart"/>
      <w:r w:rsidRPr="008B1A84">
        <w:rPr>
          <w:lang w:val="en-US"/>
        </w:rPr>
        <w:t>Rozanolixizumab</w:t>
      </w:r>
      <w:proofErr w:type="spellEnd"/>
      <w:r w:rsidRPr="008B1A84">
        <w:rPr>
          <w:lang w:val="en-US"/>
        </w:rPr>
        <w:t xml:space="preserve"> was generally well-tolerated, with a similar frequency of adverse events (mainly headache, diarrhea, and fever) between the two dosages. </w:t>
      </w:r>
      <w:r>
        <w:rPr>
          <w:lang w:val="en-US"/>
        </w:rPr>
        <w:t xml:space="preserve">A similar rate of infections was observed for </w:t>
      </w:r>
      <w:proofErr w:type="spellStart"/>
      <w:r>
        <w:rPr>
          <w:lang w:val="en-US"/>
        </w:rPr>
        <w:t>rozanolixizumab</w:t>
      </w:r>
      <w:proofErr w:type="spellEnd"/>
      <w:r>
        <w:rPr>
          <w:lang w:val="en-US"/>
        </w:rPr>
        <w:t xml:space="preserve"> 7mg/kg (16%) and placebo (19%), while it was higher for </w:t>
      </w:r>
      <w:proofErr w:type="spellStart"/>
      <w:r>
        <w:rPr>
          <w:lang w:val="en-US"/>
        </w:rPr>
        <w:t>rozanolixizumab</w:t>
      </w:r>
      <w:proofErr w:type="spellEnd"/>
      <w:r>
        <w:rPr>
          <w:lang w:val="en-US"/>
        </w:rPr>
        <w:t xml:space="preserve"> 10 mg/kg (30%). The most frequent infections were </w:t>
      </w:r>
      <w:r w:rsidRPr="00487C8B">
        <w:rPr>
          <w:lang w:val="en-US"/>
        </w:rPr>
        <w:t>nasopharyngitis</w:t>
      </w:r>
      <w:r>
        <w:rPr>
          <w:lang w:val="en-US"/>
        </w:rPr>
        <w:t xml:space="preserve">, </w:t>
      </w:r>
      <w:r w:rsidRPr="00487C8B">
        <w:rPr>
          <w:lang w:val="en-US"/>
        </w:rPr>
        <w:t>oral herpes</w:t>
      </w:r>
      <w:r>
        <w:rPr>
          <w:lang w:val="en-US"/>
        </w:rPr>
        <w:t xml:space="preserve">, </w:t>
      </w:r>
      <w:r w:rsidRPr="00487C8B">
        <w:rPr>
          <w:lang w:val="en-US"/>
        </w:rPr>
        <w:t>and upper respiratory tract infection</w:t>
      </w:r>
      <w:r>
        <w:rPr>
          <w:lang w:val="en-US"/>
        </w:rPr>
        <w:t>.</w:t>
      </w:r>
      <w:r w:rsidR="00FB0C1B">
        <w:rPr>
          <w:lang w:val="en-US"/>
        </w:rPr>
        <w:t xml:space="preserve"> [71]</w:t>
      </w:r>
      <w:r>
        <w:rPr>
          <w:lang w:val="en-US"/>
        </w:rPr>
        <w:t xml:space="preserve"> </w:t>
      </w:r>
    </w:p>
    <w:p w14:paraId="6106E4AA" w14:textId="77777777" w:rsidR="00E0319A" w:rsidRDefault="00E0319A" w:rsidP="00E0319A">
      <w:pPr>
        <w:spacing w:after="0" w:line="276" w:lineRule="auto"/>
        <w:jc w:val="both"/>
        <w:rPr>
          <w:lang w:val="en-US"/>
        </w:rPr>
      </w:pPr>
    </w:p>
    <w:p w14:paraId="607F2E7D" w14:textId="77777777" w:rsidR="00E0319A" w:rsidRPr="00E0319A" w:rsidRDefault="00E0319A" w:rsidP="00E0319A">
      <w:pPr>
        <w:pStyle w:val="Paragrafoelenco"/>
        <w:numPr>
          <w:ilvl w:val="1"/>
          <w:numId w:val="6"/>
        </w:numPr>
        <w:spacing w:after="0" w:line="276" w:lineRule="auto"/>
        <w:jc w:val="both"/>
        <w:rPr>
          <w:b/>
          <w:bCs/>
          <w:lang w:val="en-US"/>
        </w:rPr>
      </w:pPr>
      <w:proofErr w:type="spellStart"/>
      <w:r w:rsidRPr="00E0319A">
        <w:rPr>
          <w:b/>
          <w:bCs/>
          <w:lang w:val="en-US"/>
        </w:rPr>
        <w:t>Zilucoplan</w:t>
      </w:r>
      <w:proofErr w:type="spellEnd"/>
    </w:p>
    <w:p w14:paraId="0A275E5C" w14:textId="5D767DC8" w:rsidR="00E0319A" w:rsidRDefault="00E0319A" w:rsidP="00E0319A">
      <w:pPr>
        <w:spacing w:after="0" w:line="276" w:lineRule="auto"/>
        <w:jc w:val="both"/>
        <w:rPr>
          <w:lang w:val="en-US"/>
        </w:rPr>
      </w:pPr>
      <w:proofErr w:type="spellStart"/>
      <w:r w:rsidRPr="00D12D68">
        <w:rPr>
          <w:lang w:val="en-US"/>
        </w:rPr>
        <w:t>Zilucoplan</w:t>
      </w:r>
      <w:proofErr w:type="spellEnd"/>
      <w:r w:rsidRPr="00D12D68">
        <w:rPr>
          <w:lang w:val="en-US"/>
        </w:rPr>
        <w:t xml:space="preserve"> (formerly RA101495), </w:t>
      </w:r>
      <w:r>
        <w:rPr>
          <w:lang w:val="en-US"/>
        </w:rPr>
        <w:t xml:space="preserve">is </w:t>
      </w:r>
      <w:r w:rsidRPr="00D12D68">
        <w:rPr>
          <w:lang w:val="en-US"/>
        </w:rPr>
        <w:t xml:space="preserve">a novel </w:t>
      </w:r>
      <w:proofErr w:type="gramStart"/>
      <w:r w:rsidRPr="00D12D68">
        <w:rPr>
          <w:lang w:val="en-US"/>
        </w:rPr>
        <w:t>peptide-based</w:t>
      </w:r>
      <w:proofErr w:type="gramEnd"/>
      <w:r w:rsidRPr="00D12D68">
        <w:rPr>
          <w:lang w:val="en-US"/>
        </w:rPr>
        <w:t xml:space="preserve"> C5 complement inhibitor, </w:t>
      </w:r>
      <w:r>
        <w:rPr>
          <w:lang w:val="en-US"/>
        </w:rPr>
        <w:t xml:space="preserve">that </w:t>
      </w:r>
      <w:r w:rsidRPr="00D12D68">
        <w:rPr>
          <w:lang w:val="en-US"/>
        </w:rPr>
        <w:t>exhibits promising potential in the management of MG. The macrocyclic synthetic peptide RA101495 emerged from meticulous drug discovery efforts, using an innovative in vitro screening technique, the mRNA display.</w:t>
      </w:r>
      <w:r w:rsidR="00C96CD6" w:rsidRPr="00C96CD6">
        <w:rPr>
          <w:lang w:val="en-US"/>
        </w:rPr>
        <w:t xml:space="preserve"> </w:t>
      </w:r>
      <w:r w:rsidR="00C96CD6">
        <w:rPr>
          <w:lang w:val="en-US"/>
        </w:rPr>
        <w:t>[72]</w:t>
      </w:r>
      <w:r w:rsidRPr="00D12D68">
        <w:rPr>
          <w:lang w:val="en-US"/>
        </w:rPr>
        <w:t xml:space="preserve"> This approach allowed to obtain a molecule with a with </w:t>
      </w:r>
      <w:proofErr w:type="spellStart"/>
      <w:r w:rsidRPr="00D12D68">
        <w:rPr>
          <w:lang w:val="en-US"/>
        </w:rPr>
        <w:t>subnanomolar</w:t>
      </w:r>
      <w:proofErr w:type="spellEnd"/>
      <w:r w:rsidRPr="00D12D68">
        <w:rPr>
          <w:lang w:val="en-US"/>
        </w:rPr>
        <w:t xml:space="preserve"> affinity for C5 component, that was successfully tested in preclinical studies for paroxysmal nocturnal hemoglobinuria, a disorder related to complement dysregulation, confirming its mechanism of action.</w:t>
      </w:r>
      <w:r w:rsidR="00C96CD6" w:rsidRPr="00C96CD6">
        <w:rPr>
          <w:lang w:val="en-US"/>
        </w:rPr>
        <w:t xml:space="preserve"> </w:t>
      </w:r>
      <w:r w:rsidR="00C96CD6">
        <w:rPr>
          <w:lang w:val="en-US"/>
        </w:rPr>
        <w:t>[73]</w:t>
      </w:r>
      <w:r w:rsidRPr="00D12D68">
        <w:rPr>
          <w:lang w:val="en-US"/>
        </w:rPr>
        <w:t xml:space="preserve"> Moreover, RA101495 was also tested in a </w:t>
      </w:r>
      <w:proofErr w:type="spellStart"/>
      <w:r w:rsidRPr="00D12D68">
        <w:rPr>
          <w:lang w:val="en-US"/>
        </w:rPr>
        <w:t>humanised</w:t>
      </w:r>
      <w:proofErr w:type="spellEnd"/>
      <w:r w:rsidRPr="00D12D68">
        <w:rPr>
          <w:lang w:val="en-US"/>
        </w:rPr>
        <w:t xml:space="preserve"> murine model of immune-mediated </w:t>
      </w:r>
      <w:proofErr w:type="spellStart"/>
      <w:r w:rsidRPr="00D12D68">
        <w:rPr>
          <w:lang w:val="en-US"/>
        </w:rPr>
        <w:t>necrotising</w:t>
      </w:r>
      <w:proofErr w:type="spellEnd"/>
      <w:r w:rsidRPr="00D12D68">
        <w:rPr>
          <w:lang w:val="en-US"/>
        </w:rPr>
        <w:t xml:space="preserve"> myopathy with evidence of strength loss prevention and reduction of C5b-9 deposits on </w:t>
      </w:r>
      <w:proofErr w:type="spellStart"/>
      <w:r w:rsidRPr="00D12D68">
        <w:rPr>
          <w:lang w:val="en-US"/>
        </w:rPr>
        <w:t>myofibres</w:t>
      </w:r>
      <w:proofErr w:type="spellEnd"/>
      <w:r w:rsidRPr="00D12D68">
        <w:rPr>
          <w:lang w:val="en-US"/>
        </w:rPr>
        <w:t>.</w:t>
      </w:r>
      <w:r w:rsidR="00C96CD6" w:rsidRPr="00C96CD6">
        <w:rPr>
          <w:lang w:val="en-US"/>
        </w:rPr>
        <w:t xml:space="preserve"> </w:t>
      </w:r>
      <w:r w:rsidR="00C96CD6">
        <w:rPr>
          <w:lang w:val="en-US"/>
        </w:rPr>
        <w:t>[74]</w:t>
      </w:r>
      <w:r w:rsidRPr="00D12D68">
        <w:rPr>
          <w:lang w:val="en-US"/>
        </w:rPr>
        <w:t xml:space="preserve"> </w:t>
      </w:r>
      <w:r w:rsidRPr="00E0319A">
        <w:rPr>
          <w:i/>
          <w:iCs/>
          <w:lang w:val="en-US"/>
        </w:rPr>
        <w:t xml:space="preserve">In vitro </w:t>
      </w:r>
      <w:r w:rsidRPr="00D12D68">
        <w:rPr>
          <w:lang w:val="en-US"/>
        </w:rPr>
        <w:t xml:space="preserve">studies confirmed that </w:t>
      </w:r>
      <w:proofErr w:type="spellStart"/>
      <w:r w:rsidRPr="00D12D68">
        <w:rPr>
          <w:lang w:val="en-US"/>
        </w:rPr>
        <w:t>zilucoplan</w:t>
      </w:r>
      <w:proofErr w:type="spellEnd"/>
      <w:r w:rsidRPr="00D12D68">
        <w:rPr>
          <w:lang w:val="en-US"/>
        </w:rPr>
        <w:t xml:space="preserve"> bound human complement C5 with high affinity and on a different binding size respect eculizumab. </w:t>
      </w:r>
      <w:r w:rsidR="00C96CD6">
        <w:rPr>
          <w:lang w:val="en-US"/>
        </w:rPr>
        <w:t>[72</w:t>
      </w:r>
      <w:r w:rsidR="00852BEB">
        <w:rPr>
          <w:lang w:val="en-US"/>
        </w:rPr>
        <w:t>,75</w:t>
      </w:r>
      <w:r w:rsidR="00C96CD6">
        <w:rPr>
          <w:lang w:val="en-US"/>
        </w:rPr>
        <w:t xml:space="preserve">] </w:t>
      </w:r>
      <w:r w:rsidRPr="00D12D68">
        <w:rPr>
          <w:lang w:val="en-US"/>
        </w:rPr>
        <w:t>This is particularly useful for the treatment of patients genetically resistant to eculizumab.</w:t>
      </w:r>
    </w:p>
    <w:p w14:paraId="0E205C3F" w14:textId="79890C4B" w:rsidR="00E0319A" w:rsidRDefault="00E0319A" w:rsidP="00E0319A">
      <w:pPr>
        <w:spacing w:after="0" w:line="276" w:lineRule="auto"/>
        <w:jc w:val="both"/>
        <w:rPr>
          <w:lang w:val="en-US"/>
        </w:rPr>
      </w:pPr>
      <w:proofErr w:type="spellStart"/>
      <w:r>
        <w:rPr>
          <w:lang w:val="en-US"/>
        </w:rPr>
        <w:t>Zilucoplan</w:t>
      </w:r>
      <w:proofErr w:type="spellEnd"/>
      <w:r>
        <w:rPr>
          <w:lang w:val="en-US"/>
        </w:rPr>
        <w:t xml:space="preserve"> has been approved by the FDA in October 2023, respectively, for the treatment of </w:t>
      </w:r>
      <w:proofErr w:type="spellStart"/>
      <w:r>
        <w:rPr>
          <w:lang w:val="en-US"/>
        </w:rPr>
        <w:t>gMG</w:t>
      </w:r>
      <w:proofErr w:type="spellEnd"/>
      <w:r w:rsidRPr="00470303">
        <w:rPr>
          <w:lang w:val="en-US"/>
        </w:rPr>
        <w:t xml:space="preserve"> in adults who are anti-</w:t>
      </w:r>
      <w:r w:rsidRPr="00470303">
        <w:rPr>
          <w:color w:val="000000"/>
          <w:lang w:val="en-US"/>
        </w:rPr>
        <w:t xml:space="preserve"> </w:t>
      </w:r>
      <w:proofErr w:type="spellStart"/>
      <w:r>
        <w:rPr>
          <w:color w:val="000000"/>
          <w:lang w:val="en-US"/>
        </w:rPr>
        <w:t>AchR</w:t>
      </w:r>
      <w:proofErr w:type="spellEnd"/>
      <w:r w:rsidRPr="00470303">
        <w:rPr>
          <w:lang w:val="en-US"/>
        </w:rPr>
        <w:t xml:space="preserve"> - or anti-</w:t>
      </w:r>
      <w:r w:rsidRPr="00470303">
        <w:rPr>
          <w:color w:val="000000"/>
          <w:lang w:val="en-US"/>
        </w:rPr>
        <w:t xml:space="preserve"> </w:t>
      </w:r>
      <w:proofErr w:type="spellStart"/>
      <w:r w:rsidRPr="009230FE">
        <w:rPr>
          <w:color w:val="000000"/>
          <w:lang w:val="en-US"/>
        </w:rPr>
        <w:t>MuSK</w:t>
      </w:r>
      <w:proofErr w:type="spellEnd"/>
      <w:r w:rsidRPr="00470303">
        <w:rPr>
          <w:lang w:val="en-US"/>
        </w:rPr>
        <w:t xml:space="preserve"> antibody-positive</w:t>
      </w:r>
      <w:r w:rsidRPr="008B1A84">
        <w:rPr>
          <w:lang w:val="en-US"/>
        </w:rPr>
        <w:t xml:space="preserve"> </w:t>
      </w:r>
      <w:r>
        <w:rPr>
          <w:lang w:val="en-US"/>
        </w:rPr>
        <w:t>Its clinical</w:t>
      </w:r>
      <w:r w:rsidRPr="008B1A84">
        <w:rPr>
          <w:lang w:val="en-US"/>
        </w:rPr>
        <w:t xml:space="preserve"> efficacy was evaluated in the RAISE study, a </w:t>
      </w:r>
      <w:r>
        <w:rPr>
          <w:lang w:val="en-US"/>
        </w:rPr>
        <w:t>p</w:t>
      </w:r>
      <w:r w:rsidRPr="008B1A84">
        <w:rPr>
          <w:lang w:val="en-US"/>
        </w:rPr>
        <w:t xml:space="preserve">hase III, double-blind, placebo-controlled RCT conducted on 174 MG patients positive for </w:t>
      </w:r>
      <w:proofErr w:type="spellStart"/>
      <w:r w:rsidRPr="008B1A84">
        <w:rPr>
          <w:lang w:val="en-US"/>
        </w:rPr>
        <w:t>AChR</w:t>
      </w:r>
      <w:proofErr w:type="spellEnd"/>
      <w:r w:rsidRPr="008B1A84">
        <w:rPr>
          <w:lang w:val="en-US"/>
        </w:rPr>
        <w:t xml:space="preserve"> antibodies with an MG-ADL score ≥ 6.</w:t>
      </w:r>
      <w:r>
        <w:rPr>
          <w:lang w:val="en-US"/>
        </w:rPr>
        <w:t xml:space="preserve"> </w:t>
      </w:r>
      <w:r w:rsidR="00EA7828">
        <w:rPr>
          <w:lang w:val="en-US"/>
        </w:rPr>
        <w:t xml:space="preserve">[76] </w:t>
      </w:r>
      <w:r w:rsidRPr="008B1A84">
        <w:rPr>
          <w:lang w:val="en-US"/>
        </w:rPr>
        <w:t xml:space="preserve">These patients were randomized to receive </w:t>
      </w:r>
      <w:proofErr w:type="spellStart"/>
      <w:r w:rsidRPr="008B1A84">
        <w:rPr>
          <w:lang w:val="en-US"/>
        </w:rPr>
        <w:t>zilucoplan</w:t>
      </w:r>
      <w:proofErr w:type="spellEnd"/>
      <w:r w:rsidRPr="008B1A84">
        <w:rPr>
          <w:lang w:val="en-US"/>
        </w:rPr>
        <w:t xml:space="preserve"> 0.3 mg/kg per day,</w:t>
      </w:r>
      <w:r>
        <w:rPr>
          <w:lang w:val="en-US"/>
        </w:rPr>
        <w:t xml:space="preserve"> or placebo,</w:t>
      </w:r>
      <w:r w:rsidRPr="008B1A84">
        <w:rPr>
          <w:lang w:val="en-US"/>
        </w:rPr>
        <w:t xml:space="preserve"> subcutaneously in self-administration, for 12 weeks. The primary endpoint was the change from baseline in MG-ADL scale scores at week 12. </w:t>
      </w:r>
      <w:r>
        <w:rPr>
          <w:lang w:val="en-US"/>
        </w:rPr>
        <w:t xml:space="preserve">Overall, 166 patients completed the study. At week 12, </w:t>
      </w:r>
      <w:proofErr w:type="spellStart"/>
      <w:r>
        <w:rPr>
          <w:lang w:val="en-US"/>
        </w:rPr>
        <w:t>z</w:t>
      </w:r>
      <w:r w:rsidRPr="008B1A84">
        <w:rPr>
          <w:lang w:val="en-US"/>
        </w:rPr>
        <w:t>ilucoplan</w:t>
      </w:r>
      <w:proofErr w:type="spellEnd"/>
      <w:r w:rsidRPr="008B1A84">
        <w:rPr>
          <w:lang w:val="en-US"/>
        </w:rPr>
        <w:t xml:space="preserve"> was significantly superior to placebo in reducing MG-ADL scale scores</w:t>
      </w:r>
      <w:r>
        <w:rPr>
          <w:lang w:val="en-US"/>
        </w:rPr>
        <w:t xml:space="preserve"> with</w:t>
      </w:r>
      <w:r w:rsidRPr="008B1A84">
        <w:rPr>
          <w:lang w:val="en-US"/>
        </w:rPr>
        <w:t xml:space="preserve"> a greater proportion of </w:t>
      </w:r>
      <w:proofErr w:type="spellStart"/>
      <w:r w:rsidRPr="008B1A84">
        <w:rPr>
          <w:lang w:val="en-US"/>
        </w:rPr>
        <w:t>zilucoplan</w:t>
      </w:r>
      <w:proofErr w:type="spellEnd"/>
      <w:r w:rsidRPr="008B1A84">
        <w:rPr>
          <w:lang w:val="en-US"/>
        </w:rPr>
        <w:t xml:space="preserve">-treated patients achieved a reduction of </w:t>
      </w:r>
      <w:r>
        <w:rPr>
          <w:rFonts w:cstheme="minorHAnsi"/>
          <w:lang w:val="en-US"/>
        </w:rPr>
        <w:t>≥</w:t>
      </w:r>
      <w:r>
        <w:rPr>
          <w:lang w:val="en-US"/>
        </w:rPr>
        <w:t xml:space="preserve"> </w:t>
      </w:r>
      <w:r w:rsidRPr="008B1A84">
        <w:rPr>
          <w:lang w:val="en-US"/>
        </w:rPr>
        <w:t xml:space="preserve">3 points in the MG-ADL scale score without requiring rescue therapy, compared to those receiving placebo (73% vs. 46%; p&lt;0.001). Overall, the safety profile of </w:t>
      </w:r>
      <w:proofErr w:type="spellStart"/>
      <w:r w:rsidRPr="008B1A84">
        <w:rPr>
          <w:lang w:val="en-US"/>
        </w:rPr>
        <w:t>zilucoplan</w:t>
      </w:r>
      <w:proofErr w:type="spellEnd"/>
      <w:r w:rsidRPr="008B1A84">
        <w:rPr>
          <w:lang w:val="en-US"/>
        </w:rPr>
        <w:t xml:space="preserve"> was favorable, with similar adverse event incidence rates compared to the placebo control group</w:t>
      </w:r>
      <w:r>
        <w:rPr>
          <w:lang w:val="en-US"/>
        </w:rPr>
        <w:t xml:space="preserve">, with the exception of </w:t>
      </w:r>
      <w:r w:rsidRPr="00097B31">
        <w:rPr>
          <w:lang w:val="en-US"/>
        </w:rPr>
        <w:t>injection-site bruising, diarrhea,</w:t>
      </w:r>
      <w:r>
        <w:rPr>
          <w:lang w:val="en-US"/>
        </w:rPr>
        <w:t xml:space="preserve"> </w:t>
      </w:r>
      <w:r w:rsidRPr="00097B31">
        <w:rPr>
          <w:lang w:val="en-US"/>
        </w:rPr>
        <w:t>injection-site pain, and lipase increase, which were more</w:t>
      </w:r>
      <w:r>
        <w:rPr>
          <w:lang w:val="en-US"/>
        </w:rPr>
        <w:t xml:space="preserve"> common</w:t>
      </w:r>
      <w:r w:rsidRPr="00097B31">
        <w:rPr>
          <w:lang w:val="en-US"/>
        </w:rPr>
        <w:t xml:space="preserve"> in </w:t>
      </w:r>
      <w:r>
        <w:rPr>
          <w:lang w:val="en-US"/>
        </w:rPr>
        <w:t xml:space="preserve">patient receiving </w:t>
      </w:r>
      <w:proofErr w:type="spellStart"/>
      <w:r w:rsidRPr="00097B31">
        <w:rPr>
          <w:lang w:val="en-US"/>
        </w:rPr>
        <w:t>zilucoplan</w:t>
      </w:r>
      <w:proofErr w:type="spellEnd"/>
      <w:r w:rsidRPr="00097B31">
        <w:rPr>
          <w:lang w:val="en-US"/>
        </w:rPr>
        <w:t xml:space="preserve"> than in th</w:t>
      </w:r>
      <w:r>
        <w:rPr>
          <w:lang w:val="en-US"/>
        </w:rPr>
        <w:t>os</w:t>
      </w:r>
      <w:r w:rsidRPr="00097B31">
        <w:rPr>
          <w:lang w:val="en-US"/>
        </w:rPr>
        <w:t>e</w:t>
      </w:r>
      <w:r>
        <w:rPr>
          <w:lang w:val="en-US"/>
        </w:rPr>
        <w:t xml:space="preserve"> treated with</w:t>
      </w:r>
      <w:r w:rsidRPr="00097B31">
        <w:rPr>
          <w:lang w:val="en-US"/>
        </w:rPr>
        <w:t xml:space="preserve"> placebo</w:t>
      </w:r>
      <w:r>
        <w:rPr>
          <w:lang w:val="en-US"/>
        </w:rPr>
        <w:t xml:space="preserve">. Furthermore, a higher frequency of infections (mainly </w:t>
      </w:r>
      <w:r w:rsidRPr="00097B31">
        <w:rPr>
          <w:lang w:val="en-US"/>
        </w:rPr>
        <w:t>upper respiratory trac</w:t>
      </w:r>
      <w:r>
        <w:rPr>
          <w:lang w:val="en-US"/>
        </w:rPr>
        <w:t>t i</w:t>
      </w:r>
      <w:r w:rsidRPr="00097B31">
        <w:rPr>
          <w:lang w:val="en-US"/>
        </w:rPr>
        <w:t>nfections</w:t>
      </w:r>
      <w:r>
        <w:rPr>
          <w:lang w:val="en-US"/>
        </w:rPr>
        <w:t xml:space="preserve">) was observed in the </w:t>
      </w:r>
      <w:proofErr w:type="spellStart"/>
      <w:r>
        <w:rPr>
          <w:lang w:val="en-US"/>
        </w:rPr>
        <w:t>zilucoplan</w:t>
      </w:r>
      <w:proofErr w:type="spellEnd"/>
      <w:r>
        <w:rPr>
          <w:lang w:val="en-US"/>
        </w:rPr>
        <w:t xml:space="preserve"> group (27%) as compared to the placebo group (18%)</w:t>
      </w:r>
      <w:r w:rsidRPr="008B1A84">
        <w:rPr>
          <w:lang w:val="en-US"/>
        </w:rPr>
        <w:t>.</w:t>
      </w:r>
      <w:r>
        <w:rPr>
          <w:lang w:val="en-US"/>
        </w:rPr>
        <w:t xml:space="preserve"> No meningococcal infections were reported.</w:t>
      </w:r>
      <w:r w:rsidRPr="008B1A84">
        <w:rPr>
          <w:lang w:val="en-US"/>
        </w:rPr>
        <w:t xml:space="preserve"> </w:t>
      </w:r>
      <w:r w:rsidR="00EA7828">
        <w:rPr>
          <w:lang w:val="en-US"/>
        </w:rPr>
        <w:t>[76]</w:t>
      </w:r>
    </w:p>
    <w:p w14:paraId="1970CE1D" w14:textId="77777777" w:rsidR="00EA7828" w:rsidRDefault="00EA7828" w:rsidP="00E0319A">
      <w:pPr>
        <w:spacing w:after="0" w:line="276" w:lineRule="auto"/>
        <w:jc w:val="both"/>
        <w:rPr>
          <w:lang w:val="en-US"/>
        </w:rPr>
      </w:pPr>
    </w:p>
    <w:p w14:paraId="0A7F978F" w14:textId="19A992C8" w:rsidR="00E0319A" w:rsidRDefault="00E0319A" w:rsidP="00E0319A">
      <w:pPr>
        <w:spacing w:after="0" w:line="276" w:lineRule="auto"/>
        <w:jc w:val="both"/>
        <w:rPr>
          <w:lang w:val="en-US"/>
        </w:rPr>
      </w:pPr>
      <w:r>
        <w:rPr>
          <w:lang w:val="en-US"/>
        </w:rPr>
        <w:t>To date, i</w:t>
      </w:r>
      <w:r w:rsidRPr="00B22231">
        <w:rPr>
          <w:lang w:val="en-US"/>
        </w:rPr>
        <w:t xml:space="preserve">n addition to the above-described pivotal trials and open-label extension studies, </w:t>
      </w:r>
      <w:r>
        <w:rPr>
          <w:lang w:val="en-US"/>
        </w:rPr>
        <w:t>one</w:t>
      </w:r>
      <w:r w:rsidRPr="00B22231">
        <w:rPr>
          <w:lang w:val="en-US"/>
        </w:rPr>
        <w:t xml:space="preserve"> observational study and </w:t>
      </w:r>
      <w:r>
        <w:rPr>
          <w:lang w:val="en-US"/>
        </w:rPr>
        <w:t>fifteen</w:t>
      </w:r>
      <w:r w:rsidRPr="00B22231">
        <w:rPr>
          <w:lang w:val="en-US"/>
        </w:rPr>
        <w:t xml:space="preserve"> experimental studies related to </w:t>
      </w:r>
      <w:r>
        <w:rPr>
          <w:lang w:val="en-US"/>
        </w:rPr>
        <w:t xml:space="preserve">eculizumab, </w:t>
      </w:r>
      <w:proofErr w:type="spellStart"/>
      <w:r>
        <w:rPr>
          <w:lang w:val="en-US"/>
        </w:rPr>
        <w:t>ravulizumab</w:t>
      </w:r>
      <w:proofErr w:type="spellEnd"/>
      <w:r>
        <w:rPr>
          <w:lang w:val="en-US"/>
        </w:rPr>
        <w:t>, and efgartigimod</w:t>
      </w:r>
      <w:r w:rsidRPr="00B22231">
        <w:rPr>
          <w:lang w:val="en-US"/>
        </w:rPr>
        <w:t xml:space="preserve"> have been identified on clinicaltrials.gov (</w:t>
      </w:r>
      <w:r w:rsidRPr="00B22231">
        <w:rPr>
          <w:b/>
          <w:bCs/>
          <w:lang w:val="en-US"/>
        </w:rPr>
        <w:t xml:space="preserve">Table </w:t>
      </w:r>
      <w:r>
        <w:rPr>
          <w:b/>
          <w:bCs/>
          <w:lang w:val="en-US"/>
        </w:rPr>
        <w:t>3</w:t>
      </w:r>
      <w:r w:rsidRPr="00B22231">
        <w:rPr>
          <w:lang w:val="en-US"/>
        </w:rPr>
        <w:t xml:space="preserve">). In more detail, the retrospective multicenter observational study aims to collect data on clinical outcomes and long-term safety of eculizumab and </w:t>
      </w:r>
      <w:proofErr w:type="spellStart"/>
      <w:r w:rsidRPr="00B22231">
        <w:rPr>
          <w:lang w:val="en-US"/>
        </w:rPr>
        <w:t>ravulizumab</w:t>
      </w:r>
      <w:proofErr w:type="spellEnd"/>
      <w:r w:rsidRPr="00B22231">
        <w:rPr>
          <w:lang w:val="en-US"/>
        </w:rPr>
        <w:t xml:space="preserve"> (NCT04202341). Out </w:t>
      </w:r>
      <w:r w:rsidRPr="00B22231">
        <w:rPr>
          <w:lang w:val="en-US"/>
        </w:rPr>
        <w:lastRenderedPageBreak/>
        <w:t xml:space="preserve">of the </w:t>
      </w:r>
      <w:r>
        <w:rPr>
          <w:lang w:val="en-US"/>
        </w:rPr>
        <w:t>fifteen</w:t>
      </w:r>
      <w:r w:rsidRPr="00B22231">
        <w:rPr>
          <w:lang w:val="en-US"/>
        </w:rPr>
        <w:t xml:space="preserve"> experimental studies, </w:t>
      </w:r>
      <w:r>
        <w:rPr>
          <w:lang w:val="en-US"/>
        </w:rPr>
        <w:t>ten</w:t>
      </w:r>
      <w:r w:rsidRPr="00B22231">
        <w:rPr>
          <w:lang w:val="en-US"/>
        </w:rPr>
        <w:t xml:space="preserve"> were phase III trials, two were phase II/III trials, two were phase II trials, and one was an expanded access study (NCT04777734) to assess the efficacy of efgartigimod in a larger sample of patients who did not meet the eligibility criteria for inclusion in other </w:t>
      </w:r>
      <w:r>
        <w:rPr>
          <w:lang w:val="en-US"/>
        </w:rPr>
        <w:t>RCTs</w:t>
      </w:r>
      <w:r w:rsidRPr="00B22231">
        <w:rPr>
          <w:lang w:val="en-US"/>
        </w:rPr>
        <w:t>.</w:t>
      </w:r>
      <w:r>
        <w:rPr>
          <w:lang w:val="en-US"/>
        </w:rPr>
        <w:t xml:space="preserve"> </w:t>
      </w:r>
    </w:p>
    <w:p w14:paraId="5BE6050A" w14:textId="77777777" w:rsidR="00E0319A" w:rsidRPr="00B22231" w:rsidRDefault="00E0319A" w:rsidP="00E0319A">
      <w:pPr>
        <w:spacing w:after="0" w:line="276" w:lineRule="auto"/>
        <w:jc w:val="both"/>
        <w:rPr>
          <w:lang w:val="en-US"/>
        </w:rPr>
      </w:pPr>
    </w:p>
    <w:p w14:paraId="225C4466" w14:textId="77777777" w:rsidR="00E0319A" w:rsidRPr="00B15C54" w:rsidRDefault="00E0319A" w:rsidP="00E0319A">
      <w:pPr>
        <w:spacing w:after="0" w:line="276" w:lineRule="auto"/>
        <w:jc w:val="both"/>
        <w:rPr>
          <w:b/>
          <w:bCs/>
          <w:lang w:val="en-US"/>
        </w:rPr>
      </w:pPr>
      <w:r>
        <w:rPr>
          <w:b/>
          <w:bCs/>
          <w:lang w:val="en-US"/>
        </w:rPr>
        <w:t xml:space="preserve">5. </w:t>
      </w:r>
      <w:r w:rsidRPr="00B15C54">
        <w:rPr>
          <w:b/>
          <w:bCs/>
          <w:lang w:val="en-US"/>
        </w:rPr>
        <w:t>Future Perspectives</w:t>
      </w:r>
    </w:p>
    <w:p w14:paraId="2607FE1F" w14:textId="0B335380" w:rsidR="00E0319A" w:rsidRDefault="00E0319A" w:rsidP="00E0319A">
      <w:pPr>
        <w:spacing w:after="0" w:line="276" w:lineRule="auto"/>
        <w:jc w:val="both"/>
        <w:rPr>
          <w:lang w:val="en-US"/>
        </w:rPr>
      </w:pPr>
      <w:r w:rsidRPr="00B15C54">
        <w:rPr>
          <w:lang w:val="en-US"/>
        </w:rPr>
        <w:t>Several molecules are currently under evaluation for the treatment of MG (</w:t>
      </w:r>
      <w:r w:rsidRPr="0036698A">
        <w:rPr>
          <w:b/>
          <w:bCs/>
          <w:lang w:val="en-US"/>
        </w:rPr>
        <w:t xml:space="preserve">Table </w:t>
      </w:r>
      <w:r>
        <w:rPr>
          <w:b/>
          <w:bCs/>
          <w:lang w:val="en-US"/>
        </w:rPr>
        <w:t>4</w:t>
      </w:r>
      <w:r w:rsidRPr="00B15C54">
        <w:rPr>
          <w:lang w:val="en-US"/>
        </w:rPr>
        <w:t xml:space="preserve">). In more detail, in the coming years, the results of </w:t>
      </w:r>
      <w:r>
        <w:rPr>
          <w:lang w:val="en-US"/>
        </w:rPr>
        <w:t>p</w:t>
      </w:r>
      <w:r w:rsidRPr="00B15C54">
        <w:rPr>
          <w:lang w:val="en-US"/>
        </w:rPr>
        <w:t xml:space="preserve">hase III clinical trials for </w:t>
      </w:r>
      <w:proofErr w:type="spellStart"/>
      <w:r w:rsidRPr="00B15C54">
        <w:rPr>
          <w:lang w:val="en-US"/>
        </w:rPr>
        <w:t>nipocalimab</w:t>
      </w:r>
      <w:proofErr w:type="spellEnd"/>
      <w:r w:rsidRPr="00B15C54">
        <w:rPr>
          <w:lang w:val="en-US"/>
        </w:rPr>
        <w:t xml:space="preserve"> and </w:t>
      </w:r>
      <w:proofErr w:type="spellStart"/>
      <w:r w:rsidRPr="00B15C54">
        <w:rPr>
          <w:lang w:val="en-US"/>
        </w:rPr>
        <w:t>batoclimab</w:t>
      </w:r>
      <w:proofErr w:type="spellEnd"/>
      <w:r w:rsidRPr="00B15C54">
        <w:rPr>
          <w:lang w:val="en-US"/>
        </w:rPr>
        <w:t xml:space="preserve"> (two FcRn receptor antagonists)</w:t>
      </w:r>
      <w:r w:rsidR="00EA7828">
        <w:rPr>
          <w:lang w:val="en-US"/>
        </w:rPr>
        <w:t xml:space="preserve"> [77]</w:t>
      </w:r>
      <w:r w:rsidRPr="00B15C54">
        <w:rPr>
          <w:lang w:val="en-US"/>
        </w:rPr>
        <w:t xml:space="preserve">, </w:t>
      </w:r>
      <w:proofErr w:type="spellStart"/>
      <w:r w:rsidRPr="00B15C54">
        <w:rPr>
          <w:lang w:val="en-US"/>
        </w:rPr>
        <w:t>satralizumab</w:t>
      </w:r>
      <w:proofErr w:type="spellEnd"/>
      <w:r w:rsidRPr="00B15C54">
        <w:rPr>
          <w:lang w:val="en-US"/>
        </w:rPr>
        <w:t xml:space="preserve"> (an interleukin-6 receptor antagonist already authorized for the treatment of neuromyelitis spectrum disorders)</w:t>
      </w:r>
      <w:r w:rsidR="00EA7828">
        <w:rPr>
          <w:lang w:val="en-US"/>
        </w:rPr>
        <w:t xml:space="preserve"> [78]</w:t>
      </w:r>
      <w:r w:rsidRPr="00B15C54">
        <w:rPr>
          <w:lang w:val="en-US"/>
        </w:rPr>
        <w:t xml:space="preserve">, </w:t>
      </w:r>
      <w:proofErr w:type="spellStart"/>
      <w:r w:rsidRPr="00B15C54">
        <w:rPr>
          <w:lang w:val="en-US"/>
        </w:rPr>
        <w:t>inebilizumab</w:t>
      </w:r>
      <w:proofErr w:type="spellEnd"/>
      <w:r w:rsidRPr="00B15C54">
        <w:rPr>
          <w:lang w:val="en-US"/>
        </w:rPr>
        <w:t xml:space="preserve"> (an anti-CD19 monoclonal antibody)</w:t>
      </w:r>
      <w:r w:rsidR="00EA7828">
        <w:rPr>
          <w:lang w:val="en-US"/>
        </w:rPr>
        <w:t xml:space="preserve"> [79]</w:t>
      </w:r>
      <w:r w:rsidRPr="00B15C54">
        <w:rPr>
          <w:lang w:val="en-US"/>
        </w:rPr>
        <w:t xml:space="preserve">, </w:t>
      </w:r>
      <w:proofErr w:type="spellStart"/>
      <w:r w:rsidRPr="00B15C54">
        <w:rPr>
          <w:lang w:val="en-US"/>
        </w:rPr>
        <w:t>gefurulimab</w:t>
      </w:r>
      <w:proofErr w:type="spellEnd"/>
      <w:r w:rsidRPr="00B15C54">
        <w:rPr>
          <w:lang w:val="en-US"/>
        </w:rPr>
        <w:t xml:space="preserve"> (a complement C5 protein inhibitor monoclonal antibody)</w:t>
      </w:r>
      <w:r w:rsidR="00EA7828">
        <w:rPr>
          <w:lang w:val="en-US"/>
        </w:rPr>
        <w:t xml:space="preserve"> [80]</w:t>
      </w:r>
      <w:r w:rsidRPr="00B15C54">
        <w:rPr>
          <w:lang w:val="en-US"/>
        </w:rPr>
        <w:t xml:space="preserve">, </w:t>
      </w:r>
      <w:proofErr w:type="spellStart"/>
      <w:r w:rsidRPr="00B15C54">
        <w:rPr>
          <w:lang w:val="en-US"/>
        </w:rPr>
        <w:t>vemircopan</w:t>
      </w:r>
      <w:proofErr w:type="spellEnd"/>
      <w:r w:rsidRPr="00B15C54">
        <w:rPr>
          <w:lang w:val="en-US"/>
        </w:rPr>
        <w:t xml:space="preserve"> (a factor D protease inhibitor)</w:t>
      </w:r>
      <w:r w:rsidR="00EA7828">
        <w:rPr>
          <w:lang w:val="en-US"/>
        </w:rPr>
        <w:t xml:space="preserve"> [81]</w:t>
      </w:r>
      <w:r>
        <w:rPr>
          <w:lang w:val="en-US"/>
        </w:rPr>
        <w:t xml:space="preserve">, and the combination of </w:t>
      </w:r>
      <w:proofErr w:type="spellStart"/>
      <w:r>
        <w:rPr>
          <w:lang w:val="en-US"/>
        </w:rPr>
        <w:t>p</w:t>
      </w:r>
      <w:r w:rsidRPr="00C21801">
        <w:rPr>
          <w:lang w:val="en-US"/>
        </w:rPr>
        <w:t>ozelimab</w:t>
      </w:r>
      <w:proofErr w:type="spellEnd"/>
      <w:r>
        <w:rPr>
          <w:lang w:val="en-US"/>
        </w:rPr>
        <w:t xml:space="preserve"> (a</w:t>
      </w:r>
      <w:r w:rsidRPr="00C21801">
        <w:rPr>
          <w:lang w:val="en-US"/>
        </w:rPr>
        <w:t xml:space="preserve"> complement protein C5</w:t>
      </w:r>
      <w:r>
        <w:rPr>
          <w:lang w:val="en-US"/>
        </w:rPr>
        <w:t xml:space="preserve"> inhibitor)</w:t>
      </w:r>
      <w:r w:rsidRPr="00C21801">
        <w:rPr>
          <w:lang w:val="en-US"/>
        </w:rPr>
        <w:t xml:space="preserve"> </w:t>
      </w:r>
      <w:r>
        <w:rPr>
          <w:lang w:val="en-US"/>
        </w:rPr>
        <w:t>and</w:t>
      </w:r>
      <w:r w:rsidRPr="00C21801">
        <w:rPr>
          <w:lang w:val="en-US"/>
        </w:rPr>
        <w:t xml:space="preserve"> </w:t>
      </w:r>
      <w:proofErr w:type="spellStart"/>
      <w:r w:rsidRPr="00C21801">
        <w:rPr>
          <w:lang w:val="en-US"/>
        </w:rPr>
        <w:t>cemdisiran</w:t>
      </w:r>
      <w:proofErr w:type="spellEnd"/>
      <w:r>
        <w:rPr>
          <w:lang w:val="en-US"/>
        </w:rPr>
        <w:t xml:space="preserve"> (a</w:t>
      </w:r>
      <w:r w:rsidRPr="00C21801">
        <w:rPr>
          <w:lang w:val="en-US"/>
        </w:rPr>
        <w:t xml:space="preserve"> complemen</w:t>
      </w:r>
      <w:r>
        <w:rPr>
          <w:lang w:val="en-US"/>
        </w:rPr>
        <w:t xml:space="preserve">t </w:t>
      </w:r>
      <w:r w:rsidRPr="00C21801">
        <w:rPr>
          <w:lang w:val="en-US"/>
        </w:rPr>
        <w:t>C5 protein liver production inhibitor</w:t>
      </w:r>
      <w:r>
        <w:rPr>
          <w:lang w:val="en-US"/>
        </w:rPr>
        <w:t>)</w:t>
      </w:r>
      <w:r w:rsidR="00EA7828">
        <w:rPr>
          <w:lang w:val="en-US"/>
        </w:rPr>
        <w:t xml:space="preserve"> [82]</w:t>
      </w:r>
      <w:r w:rsidRPr="00B15C54">
        <w:rPr>
          <w:lang w:val="en-US"/>
        </w:rPr>
        <w:t xml:space="preserve"> will become available. </w:t>
      </w:r>
    </w:p>
    <w:p w14:paraId="1BACC04F" w14:textId="7B418D6B" w:rsidR="00E0319A" w:rsidRPr="0010135D" w:rsidRDefault="00E0319A" w:rsidP="00E0319A">
      <w:pPr>
        <w:spacing w:after="0"/>
        <w:jc w:val="both"/>
        <w:rPr>
          <w:lang w:val="en-US"/>
        </w:rPr>
      </w:pPr>
      <w:r w:rsidRPr="003713B2">
        <w:rPr>
          <w:rFonts w:ascii="Calibri" w:hAnsi="Calibri" w:cs="Calibri"/>
          <w:color w:val="000000"/>
          <w:bdr w:val="none" w:sz="0" w:space="0" w:color="auto" w:frame="1"/>
          <w:shd w:val="clear" w:color="auto" w:fill="FFFFFF"/>
          <w:lang w:val="en-US"/>
        </w:rPr>
        <w:t xml:space="preserve">Future perspectives for the treatment of MG also include the development of chimeric antigen receptor (CAR)-T-cell therapy, which was evaluated in an open-label phase 1b/2a </w:t>
      </w:r>
      <w:r>
        <w:rPr>
          <w:rFonts w:ascii="Calibri" w:hAnsi="Calibri" w:cs="Calibri"/>
          <w:color w:val="000000"/>
          <w:bdr w:val="none" w:sz="0" w:space="0" w:color="auto" w:frame="1"/>
          <w:shd w:val="clear" w:color="auto" w:fill="FFFFFF"/>
          <w:lang w:val="en-US"/>
        </w:rPr>
        <w:t>trial (</w:t>
      </w:r>
      <w:r w:rsidRPr="003713B2">
        <w:rPr>
          <w:rFonts w:ascii="Calibri" w:hAnsi="Calibri" w:cs="Calibri"/>
          <w:color w:val="000000"/>
          <w:bdr w:val="none" w:sz="0" w:space="0" w:color="auto" w:frame="1"/>
          <w:shd w:val="clear" w:color="auto" w:fill="FFFFFF"/>
          <w:lang w:val="en-US"/>
        </w:rPr>
        <w:t>NCT04146051</w:t>
      </w:r>
      <w:r>
        <w:rPr>
          <w:rFonts w:ascii="Calibri" w:hAnsi="Calibri" w:cs="Calibri"/>
          <w:color w:val="000000"/>
          <w:bdr w:val="none" w:sz="0" w:space="0" w:color="auto" w:frame="1"/>
          <w:shd w:val="clear" w:color="auto" w:fill="FFFFFF"/>
          <w:lang w:val="en-US"/>
        </w:rPr>
        <w:t>)</w:t>
      </w:r>
      <w:r w:rsidRPr="003713B2">
        <w:rPr>
          <w:rFonts w:ascii="Calibri" w:hAnsi="Calibri" w:cs="Calibri"/>
          <w:color w:val="000000"/>
          <w:bdr w:val="none" w:sz="0" w:space="0" w:color="auto" w:frame="1"/>
          <w:shd w:val="clear" w:color="auto" w:fill="FFFFFF"/>
          <w:lang w:val="en-US"/>
        </w:rPr>
        <w:t xml:space="preserve"> involving 16 adult patients (aged ≥ 18 years) affected by </w:t>
      </w:r>
      <w:proofErr w:type="spellStart"/>
      <w:r w:rsidRPr="003713B2">
        <w:rPr>
          <w:rFonts w:ascii="Calibri" w:hAnsi="Calibri" w:cs="Calibri"/>
          <w:color w:val="000000"/>
          <w:bdr w:val="none" w:sz="0" w:space="0" w:color="auto" w:frame="1"/>
          <w:shd w:val="clear" w:color="auto" w:fill="FFFFFF"/>
          <w:lang w:val="en-US"/>
        </w:rPr>
        <w:t>gMG</w:t>
      </w:r>
      <w:proofErr w:type="spellEnd"/>
      <w:r w:rsidRPr="003713B2">
        <w:rPr>
          <w:rFonts w:ascii="Calibri" w:hAnsi="Calibri" w:cs="Calibri"/>
          <w:color w:val="000000"/>
          <w:bdr w:val="none" w:sz="0" w:space="0" w:color="auto" w:frame="1"/>
          <w:shd w:val="clear" w:color="auto" w:fill="FFFFFF"/>
          <w:lang w:val="en-US"/>
        </w:rPr>
        <w:t xml:space="preserve"> with presence of anti-</w:t>
      </w:r>
      <w:proofErr w:type="spellStart"/>
      <w:r w:rsidRPr="003713B2">
        <w:rPr>
          <w:rFonts w:ascii="Calibri" w:hAnsi="Calibri" w:cs="Calibri"/>
          <w:color w:val="000000"/>
          <w:bdr w:val="none" w:sz="0" w:space="0" w:color="auto" w:frame="1"/>
          <w:shd w:val="clear" w:color="auto" w:fill="FFFFFF"/>
          <w:lang w:val="en-US"/>
        </w:rPr>
        <w:t>AchR</w:t>
      </w:r>
      <w:proofErr w:type="spellEnd"/>
      <w:r w:rsidRPr="003713B2">
        <w:rPr>
          <w:rFonts w:ascii="Calibri" w:hAnsi="Calibri" w:cs="Calibri"/>
          <w:color w:val="000000"/>
          <w:bdr w:val="none" w:sz="0" w:space="0" w:color="auto" w:frame="1"/>
          <w:shd w:val="clear" w:color="auto" w:fill="FFFFFF"/>
          <w:lang w:val="en-US"/>
        </w:rPr>
        <w:t> - or anti-</w:t>
      </w:r>
      <w:proofErr w:type="spellStart"/>
      <w:r w:rsidRPr="003713B2">
        <w:rPr>
          <w:rFonts w:ascii="Calibri" w:hAnsi="Calibri" w:cs="Calibri"/>
          <w:color w:val="000000"/>
          <w:bdr w:val="none" w:sz="0" w:space="0" w:color="auto" w:frame="1"/>
          <w:shd w:val="clear" w:color="auto" w:fill="FFFFFF"/>
          <w:lang w:val="en-US"/>
        </w:rPr>
        <w:t>MuSK</w:t>
      </w:r>
      <w:proofErr w:type="spellEnd"/>
      <w:r w:rsidRPr="003713B2">
        <w:rPr>
          <w:rFonts w:ascii="Calibri" w:hAnsi="Calibri" w:cs="Calibri"/>
          <w:color w:val="000000"/>
          <w:bdr w:val="none" w:sz="0" w:space="0" w:color="auto" w:frame="1"/>
          <w:shd w:val="clear" w:color="auto" w:fill="FFFFFF"/>
          <w:lang w:val="en-US"/>
        </w:rPr>
        <w:t> antibodies.</w:t>
      </w:r>
      <w:r w:rsidR="00EA7828">
        <w:rPr>
          <w:rFonts w:ascii="Calibri" w:hAnsi="Calibri" w:cs="Calibri"/>
          <w:color w:val="000000"/>
          <w:bdr w:val="none" w:sz="0" w:space="0" w:color="auto" w:frame="1"/>
          <w:shd w:val="clear" w:color="auto" w:fill="FFFFFF"/>
          <w:lang w:val="en-US"/>
        </w:rPr>
        <w:t xml:space="preserve"> [83]</w:t>
      </w:r>
      <w:r w:rsidRPr="003713B2">
        <w:rPr>
          <w:rFonts w:ascii="Calibri" w:hAnsi="Calibri" w:cs="Calibri"/>
          <w:color w:val="000000"/>
          <w:bdr w:val="none" w:sz="0" w:space="0" w:color="auto" w:frame="1"/>
          <w:shd w:val="clear" w:color="auto" w:fill="FFFFFF"/>
          <w:lang w:val="en-US"/>
        </w:rPr>
        <w:t xml:space="preserve"> Results from this study were encouraging and CD8 CAR-T therapy appeared to be safe, well tolerated, and led to a clinically meaningful decrease on MG severity scales at up to 9 months of follow-up. CAR-T infusion did not lead to cytokine release syndrome nor neurotoxicity, and the most common side effects were headache, nausea, vomiting, and fever.</w:t>
      </w:r>
      <w:r>
        <w:rPr>
          <w:lang w:val="en-US"/>
        </w:rPr>
        <w:t xml:space="preserve"> </w:t>
      </w:r>
      <w:r w:rsidRPr="008F1001">
        <w:rPr>
          <w:lang w:val="en-US"/>
        </w:rPr>
        <w:t>This treatment principle is regarded a</w:t>
      </w:r>
      <w:r>
        <w:rPr>
          <w:lang w:val="en-US"/>
        </w:rPr>
        <w:t xml:space="preserve">lso specifically </w:t>
      </w:r>
      <w:r w:rsidRPr="008F1001">
        <w:rPr>
          <w:lang w:val="en-US"/>
        </w:rPr>
        <w:t xml:space="preserve">for </w:t>
      </w:r>
      <w:r>
        <w:rPr>
          <w:lang w:val="en-US"/>
        </w:rPr>
        <w:t>anti-</w:t>
      </w:r>
      <w:proofErr w:type="spellStart"/>
      <w:r w:rsidRPr="008F1001">
        <w:rPr>
          <w:lang w:val="en-US"/>
        </w:rPr>
        <w:t>MuSK</w:t>
      </w:r>
      <w:proofErr w:type="spellEnd"/>
      <w:r w:rsidRPr="008F1001">
        <w:rPr>
          <w:lang w:val="en-US"/>
        </w:rPr>
        <w:t xml:space="preserve"> </w:t>
      </w:r>
      <w:r>
        <w:rPr>
          <w:lang w:val="en-US"/>
        </w:rPr>
        <w:t xml:space="preserve">antibodies patients, using </w:t>
      </w:r>
      <w:r w:rsidRPr="0010135D">
        <w:rPr>
          <w:lang w:val="en-US"/>
        </w:rPr>
        <w:t xml:space="preserve">engineered T cells to express a </w:t>
      </w:r>
      <w:proofErr w:type="spellStart"/>
      <w:r w:rsidRPr="0010135D">
        <w:rPr>
          <w:lang w:val="en-US"/>
        </w:rPr>
        <w:t>MuSK</w:t>
      </w:r>
      <w:proofErr w:type="spellEnd"/>
      <w:r w:rsidRPr="0010135D">
        <w:rPr>
          <w:lang w:val="en-US"/>
        </w:rPr>
        <w:t xml:space="preserve"> chimeric autoantibody receptor with CD137-CD3ζ signaling domains (</w:t>
      </w:r>
      <w:proofErr w:type="spellStart"/>
      <w:r w:rsidRPr="0010135D">
        <w:rPr>
          <w:lang w:val="en-US"/>
        </w:rPr>
        <w:t>MuSK</w:t>
      </w:r>
      <w:proofErr w:type="spellEnd"/>
      <w:r w:rsidRPr="0010135D">
        <w:rPr>
          <w:lang w:val="en-US"/>
        </w:rPr>
        <w:t>-CAART)</w:t>
      </w:r>
      <w:r>
        <w:rPr>
          <w:lang w:val="en-US"/>
        </w:rPr>
        <w:t xml:space="preserve"> </w:t>
      </w:r>
      <w:r w:rsidRPr="0010135D">
        <w:rPr>
          <w:lang w:val="en-US"/>
        </w:rPr>
        <w:t>for precision targeting of B cells expressing anti-</w:t>
      </w:r>
      <w:proofErr w:type="spellStart"/>
      <w:r w:rsidRPr="0010135D">
        <w:rPr>
          <w:lang w:val="en-US"/>
        </w:rPr>
        <w:t>MuSK</w:t>
      </w:r>
      <w:proofErr w:type="spellEnd"/>
      <w:r w:rsidRPr="0010135D">
        <w:rPr>
          <w:lang w:val="en-US"/>
        </w:rPr>
        <w:t xml:space="preserve"> autoantibodies.</w:t>
      </w:r>
      <w:r w:rsidR="00EA7828">
        <w:rPr>
          <w:lang w:val="en-US"/>
        </w:rPr>
        <w:t xml:space="preserve"> [84]</w:t>
      </w:r>
      <w:r>
        <w:rPr>
          <w:lang w:val="en-US"/>
        </w:rPr>
        <w:t xml:space="preserve"> To date, a first phase I trial </w:t>
      </w:r>
      <w:r w:rsidRPr="0010135D">
        <w:rPr>
          <w:lang w:val="en-US"/>
        </w:rPr>
        <w:t xml:space="preserve">to </w:t>
      </w:r>
      <w:r>
        <w:rPr>
          <w:lang w:val="en-US"/>
        </w:rPr>
        <w:t>e</w:t>
      </w:r>
      <w:r w:rsidRPr="0010135D">
        <w:rPr>
          <w:lang w:val="en-US"/>
        </w:rPr>
        <w:t xml:space="preserve">valuate the </w:t>
      </w:r>
      <w:r>
        <w:rPr>
          <w:lang w:val="en-US"/>
        </w:rPr>
        <w:t>s</w:t>
      </w:r>
      <w:r w:rsidRPr="0010135D">
        <w:rPr>
          <w:lang w:val="en-US"/>
        </w:rPr>
        <w:t xml:space="preserve">afety of </w:t>
      </w:r>
      <w:r>
        <w:rPr>
          <w:lang w:val="en-US"/>
        </w:rPr>
        <w:t>v</w:t>
      </w:r>
      <w:r w:rsidRPr="0010135D">
        <w:rPr>
          <w:lang w:val="en-US"/>
        </w:rPr>
        <w:t xml:space="preserve">arious </w:t>
      </w:r>
      <w:r>
        <w:rPr>
          <w:lang w:val="en-US"/>
        </w:rPr>
        <w:t>d</w:t>
      </w:r>
      <w:r w:rsidRPr="0010135D">
        <w:rPr>
          <w:lang w:val="en-US"/>
        </w:rPr>
        <w:t xml:space="preserve">osing </w:t>
      </w:r>
      <w:r>
        <w:rPr>
          <w:lang w:val="en-US"/>
        </w:rPr>
        <w:t>r</w:t>
      </w:r>
      <w:r w:rsidRPr="0010135D">
        <w:rPr>
          <w:lang w:val="en-US"/>
        </w:rPr>
        <w:t xml:space="preserve">egimens of </w:t>
      </w:r>
      <w:proofErr w:type="spellStart"/>
      <w:r w:rsidRPr="0010135D">
        <w:rPr>
          <w:lang w:val="en-US"/>
        </w:rPr>
        <w:t>MuSK</w:t>
      </w:r>
      <w:proofErr w:type="spellEnd"/>
      <w:r w:rsidRPr="0010135D">
        <w:rPr>
          <w:lang w:val="en-US"/>
        </w:rPr>
        <w:t xml:space="preserve">-CAART for </w:t>
      </w:r>
      <w:proofErr w:type="spellStart"/>
      <w:r w:rsidRPr="0010135D">
        <w:rPr>
          <w:lang w:val="en-US"/>
        </w:rPr>
        <w:t>MuSK</w:t>
      </w:r>
      <w:proofErr w:type="spellEnd"/>
      <w:r w:rsidRPr="0010135D">
        <w:rPr>
          <w:lang w:val="en-US"/>
        </w:rPr>
        <w:t xml:space="preserve"> </w:t>
      </w:r>
      <w:r>
        <w:rPr>
          <w:lang w:val="en-US"/>
        </w:rPr>
        <w:t>anti-</w:t>
      </w:r>
      <w:proofErr w:type="spellStart"/>
      <w:r>
        <w:rPr>
          <w:lang w:val="en-US"/>
        </w:rPr>
        <w:t>AChR</w:t>
      </w:r>
      <w:proofErr w:type="spellEnd"/>
      <w:r>
        <w:rPr>
          <w:lang w:val="en-US"/>
        </w:rPr>
        <w:t xml:space="preserve"> negative MG is recruiting (</w:t>
      </w:r>
      <w:r w:rsidRPr="0010135D">
        <w:rPr>
          <w:lang w:val="en-US"/>
        </w:rPr>
        <w:t>NCT05451212</w:t>
      </w:r>
      <w:r>
        <w:rPr>
          <w:lang w:val="en-US"/>
        </w:rPr>
        <w:t xml:space="preserve">). </w:t>
      </w:r>
    </w:p>
    <w:p w14:paraId="1CCB074A" w14:textId="60F19EAA" w:rsidR="00E0319A" w:rsidRDefault="00E0319A" w:rsidP="00E0319A">
      <w:pPr>
        <w:spacing w:after="0" w:line="276" w:lineRule="auto"/>
        <w:jc w:val="both"/>
        <w:rPr>
          <w:lang w:val="en-US"/>
        </w:rPr>
      </w:pPr>
      <w:r>
        <w:rPr>
          <w:lang w:val="en-US"/>
        </w:rPr>
        <w:t>Encouraging non-pharmacological treatments, including gene therapy and</w:t>
      </w:r>
      <w:r w:rsidRPr="00122BCF">
        <w:rPr>
          <w:lang w:val="en-US"/>
        </w:rPr>
        <w:t xml:space="preserve"> </w:t>
      </w:r>
      <w:proofErr w:type="spellStart"/>
      <w:r w:rsidRPr="008F1001">
        <w:rPr>
          <w:lang w:val="en-US"/>
        </w:rPr>
        <w:t>hematopoetic</w:t>
      </w:r>
      <w:proofErr w:type="spellEnd"/>
      <w:r w:rsidRPr="008F1001">
        <w:rPr>
          <w:lang w:val="en-US"/>
        </w:rPr>
        <w:t xml:space="preserve"> stem cell transplantation</w:t>
      </w:r>
      <w:r>
        <w:rPr>
          <w:lang w:val="en-US"/>
        </w:rPr>
        <w:t xml:space="preserve">, need to be mentioned. </w:t>
      </w:r>
      <w:r w:rsidRPr="00FB3013">
        <w:rPr>
          <w:lang w:val="en-US"/>
        </w:rPr>
        <w:t>Recent research has explored the potential of RNA interference (RNAi) techniques in treating MG by targeting components of the immune system.</w:t>
      </w:r>
      <w:r w:rsidR="00EA7828">
        <w:rPr>
          <w:lang w:val="en-US"/>
        </w:rPr>
        <w:t xml:space="preserve"> [85]</w:t>
      </w:r>
      <w:r w:rsidRPr="00FB3013">
        <w:rPr>
          <w:lang w:val="en-US"/>
        </w:rPr>
        <w:t xml:space="preserve"> </w:t>
      </w:r>
      <w:r>
        <w:rPr>
          <w:lang w:val="en-US"/>
        </w:rPr>
        <w:t>Preclinical s</w:t>
      </w:r>
      <w:r w:rsidRPr="00FB3013">
        <w:rPr>
          <w:lang w:val="en-US"/>
        </w:rPr>
        <w:t xml:space="preserve">tudies have shown that small interfering RNAs (siRNAs) can effectively silence genes involved in the disease process, such as complement C5, C2, </w:t>
      </w:r>
      <w:proofErr w:type="spellStart"/>
      <w:r w:rsidRPr="00FB3013">
        <w:rPr>
          <w:lang w:val="en-US"/>
        </w:rPr>
        <w:t>RelB</w:t>
      </w:r>
      <w:proofErr w:type="spellEnd"/>
      <w:r w:rsidRPr="00FB3013">
        <w:rPr>
          <w:lang w:val="en-US"/>
        </w:rPr>
        <w:t xml:space="preserve">, and Bcl-6, </w:t>
      </w:r>
      <w:r>
        <w:rPr>
          <w:lang w:val="en-US"/>
        </w:rPr>
        <w:t>reducing</w:t>
      </w:r>
      <w:r w:rsidRPr="00FB3013">
        <w:rPr>
          <w:lang w:val="en-US"/>
        </w:rPr>
        <w:t xml:space="preserve"> disease severity and </w:t>
      </w:r>
      <w:r>
        <w:rPr>
          <w:lang w:val="en-US"/>
        </w:rPr>
        <w:t>improving</w:t>
      </w:r>
      <w:r w:rsidRPr="00FB3013">
        <w:rPr>
          <w:lang w:val="en-US"/>
        </w:rPr>
        <w:t xml:space="preserve"> immune regulation.</w:t>
      </w:r>
      <w:r w:rsidR="00EA7828">
        <w:rPr>
          <w:lang w:val="en-US"/>
        </w:rPr>
        <w:t xml:space="preserve"> [86]</w:t>
      </w:r>
      <w:r w:rsidRPr="00FB3013">
        <w:rPr>
          <w:lang w:val="en-US"/>
        </w:rPr>
        <w:t xml:space="preserve"> This approach includes using conjugates like GalNAc-siRNA to decrease the expression of specific genes in hepatocytes, resulting in lowered disease severity in MG models.</w:t>
      </w:r>
      <w:r w:rsidR="00EA7828">
        <w:rPr>
          <w:lang w:val="en-US"/>
        </w:rPr>
        <w:t xml:space="preserve"> [87]</w:t>
      </w:r>
      <w:r w:rsidRPr="00FB3013">
        <w:rPr>
          <w:lang w:val="en-US"/>
        </w:rPr>
        <w:t xml:space="preserve"> Additionally, miR-146a</w:t>
      </w:r>
      <w:r>
        <w:rPr>
          <w:lang w:val="en-US"/>
        </w:rPr>
        <w:t>, regulatory nucleic acid molecule,</w:t>
      </w:r>
      <w:r w:rsidRPr="00FB3013">
        <w:rPr>
          <w:lang w:val="en-US"/>
        </w:rPr>
        <w:t xml:space="preserve"> silencing ha</w:t>
      </w:r>
      <w:r>
        <w:rPr>
          <w:lang w:val="en-US"/>
        </w:rPr>
        <w:t>s</w:t>
      </w:r>
      <w:r w:rsidRPr="00FB3013">
        <w:rPr>
          <w:lang w:val="en-US"/>
        </w:rPr>
        <w:t xml:space="preserve"> shown promise in alleviating MG symptoms.</w:t>
      </w:r>
      <w:r w:rsidR="00EA7828">
        <w:rPr>
          <w:lang w:val="en-US"/>
        </w:rPr>
        <w:t xml:space="preserve"> [88]</w:t>
      </w:r>
      <w:r w:rsidRPr="00FB3013">
        <w:rPr>
          <w:lang w:val="en-US"/>
        </w:rPr>
        <w:t xml:space="preserve"> Further, antisense oligodeoxynucleotides targeting </w:t>
      </w:r>
      <w:r>
        <w:rPr>
          <w:lang w:val="en-US"/>
        </w:rPr>
        <w:t>acetylcholinesterase</w:t>
      </w:r>
      <w:r w:rsidRPr="00FB3013">
        <w:rPr>
          <w:lang w:val="en-US"/>
        </w:rPr>
        <w:t xml:space="preserve"> mRNA </w:t>
      </w:r>
      <w:r>
        <w:rPr>
          <w:lang w:val="en-US"/>
        </w:rPr>
        <w:t>effectively reduced</w:t>
      </w:r>
      <w:r w:rsidRPr="00FB3013">
        <w:rPr>
          <w:lang w:val="en-US"/>
        </w:rPr>
        <w:t xml:space="preserve"> active </w:t>
      </w:r>
      <w:r>
        <w:rPr>
          <w:lang w:val="en-US"/>
        </w:rPr>
        <w:t>acetylcholinesterase</w:t>
      </w:r>
      <w:r w:rsidRPr="00FB3013">
        <w:rPr>
          <w:lang w:val="en-US"/>
        </w:rPr>
        <w:t xml:space="preserve"> levels, improving muscle strength and clinical outcomes in MG.</w:t>
      </w:r>
      <w:r w:rsidR="00EA7828">
        <w:rPr>
          <w:lang w:val="en-US"/>
        </w:rPr>
        <w:t xml:space="preserve"> [89]</w:t>
      </w:r>
      <w:r w:rsidRPr="00FB3013">
        <w:rPr>
          <w:lang w:val="en-US"/>
        </w:rPr>
        <w:t xml:space="preserve"> These preclinical studies highlight the potential of RNAi-based therapies in MG treatment, though extensive research is still needed to fully assess their therapeutic viability.</w:t>
      </w:r>
      <w:r>
        <w:rPr>
          <w:lang w:val="en-US"/>
        </w:rPr>
        <w:t xml:space="preserve"> Several small case series have been reported regarding hematopoietic stem cell transplantation</w:t>
      </w:r>
      <w:r w:rsidR="00EA7828">
        <w:rPr>
          <w:lang w:val="en-US"/>
        </w:rPr>
        <w:t xml:space="preserve"> [90,91]</w:t>
      </w:r>
      <w:r>
        <w:rPr>
          <w:lang w:val="en-US"/>
        </w:rPr>
        <w:t xml:space="preserve">. Promising clinical outcomes, such as </w:t>
      </w:r>
      <w:r w:rsidRPr="00122BCF">
        <w:rPr>
          <w:lang w:val="en-US"/>
        </w:rPr>
        <w:t>long-term symptom- and treatment-free remission</w:t>
      </w:r>
      <w:r>
        <w:rPr>
          <w:lang w:val="en-US"/>
        </w:rPr>
        <w:t xml:space="preserve">, should lead to considering its employment in cases of </w:t>
      </w:r>
      <w:r w:rsidRPr="00122BCF">
        <w:rPr>
          <w:lang w:val="en-US"/>
        </w:rPr>
        <w:t>severe or life-threatening MG-related symptoms despite</w:t>
      </w:r>
      <w:r>
        <w:rPr>
          <w:lang w:val="en-US"/>
        </w:rPr>
        <w:t xml:space="preserve"> the</w:t>
      </w:r>
      <w:r w:rsidRPr="00122BCF">
        <w:rPr>
          <w:lang w:val="en-US"/>
        </w:rPr>
        <w:t xml:space="preserve"> continued use of intensive immunosuppressive therapies</w:t>
      </w:r>
      <w:r>
        <w:rPr>
          <w:lang w:val="en-US"/>
        </w:rPr>
        <w:t>.</w:t>
      </w:r>
    </w:p>
    <w:p w14:paraId="631CCC7F" w14:textId="77777777" w:rsidR="00E0319A" w:rsidRDefault="00E0319A" w:rsidP="00E0319A">
      <w:pPr>
        <w:spacing w:after="0" w:line="276" w:lineRule="auto"/>
        <w:jc w:val="both"/>
        <w:rPr>
          <w:lang w:val="en-US"/>
        </w:rPr>
      </w:pPr>
    </w:p>
    <w:p w14:paraId="33E35822" w14:textId="77777777" w:rsidR="00E0319A" w:rsidRPr="00C364AF" w:rsidRDefault="00E0319A" w:rsidP="00E0319A">
      <w:pPr>
        <w:spacing w:after="0" w:line="276" w:lineRule="auto"/>
        <w:jc w:val="both"/>
        <w:rPr>
          <w:b/>
          <w:bCs/>
          <w:lang w:val="en-US"/>
        </w:rPr>
      </w:pPr>
      <w:r>
        <w:rPr>
          <w:b/>
          <w:bCs/>
          <w:lang w:val="en-US"/>
        </w:rPr>
        <w:t xml:space="preserve">6. </w:t>
      </w:r>
      <w:r w:rsidRPr="00C364AF">
        <w:rPr>
          <w:b/>
          <w:bCs/>
          <w:lang w:val="en-US"/>
        </w:rPr>
        <w:t>Conclusions</w:t>
      </w:r>
    </w:p>
    <w:p w14:paraId="33B8D74F" w14:textId="7D4D0B03" w:rsidR="00E0319A" w:rsidRDefault="00E0319A" w:rsidP="00E0319A">
      <w:pPr>
        <w:spacing w:after="0" w:line="276" w:lineRule="auto"/>
        <w:jc w:val="both"/>
        <w:rPr>
          <w:lang w:val="en-US"/>
        </w:rPr>
      </w:pPr>
      <w:r>
        <w:rPr>
          <w:lang w:val="en-US"/>
        </w:rPr>
        <w:t xml:space="preserve">In recent years, a large number of drugs have been approved for the treatment of MG, and a </w:t>
      </w:r>
      <w:r w:rsidRPr="008B1A84">
        <w:rPr>
          <w:lang w:val="en-US"/>
        </w:rPr>
        <w:t>wide range of clinical studies</w:t>
      </w:r>
      <w:r>
        <w:rPr>
          <w:lang w:val="en-US"/>
        </w:rPr>
        <w:t xml:space="preserve"> is currently ongoing, with the aim of</w:t>
      </w:r>
      <w:r w:rsidRPr="008B1A84">
        <w:rPr>
          <w:lang w:val="en-US"/>
        </w:rPr>
        <w:t xml:space="preserve"> evaluating</w:t>
      </w:r>
      <w:r>
        <w:rPr>
          <w:lang w:val="en-US"/>
        </w:rPr>
        <w:t xml:space="preserve"> the efficacy and safety of</w:t>
      </w:r>
      <w:r w:rsidRPr="008B1A84">
        <w:rPr>
          <w:lang w:val="en-US"/>
        </w:rPr>
        <w:t xml:space="preserve"> medications</w:t>
      </w:r>
      <w:r>
        <w:rPr>
          <w:lang w:val="en-US"/>
        </w:rPr>
        <w:t xml:space="preserve"> that can</w:t>
      </w:r>
      <w:r w:rsidRPr="008B1A84">
        <w:rPr>
          <w:lang w:val="en-US"/>
        </w:rPr>
        <w:t xml:space="preserve"> modulat</w:t>
      </w:r>
      <w:r>
        <w:rPr>
          <w:lang w:val="en-US"/>
        </w:rPr>
        <w:t>e</w:t>
      </w:r>
      <w:r w:rsidRPr="008B1A84">
        <w:rPr>
          <w:lang w:val="en-US"/>
        </w:rPr>
        <w:t xml:space="preserve"> autoimmune processes at various levels, which are primarily responsible for the clinical manifestations of different </w:t>
      </w:r>
      <w:r>
        <w:rPr>
          <w:lang w:val="en-US"/>
        </w:rPr>
        <w:t>variants</w:t>
      </w:r>
      <w:r w:rsidRPr="008B1A84">
        <w:rPr>
          <w:lang w:val="en-US"/>
        </w:rPr>
        <w:t xml:space="preserve"> of the disease. It is noteworthy that many of the already approved drugs or in advanced stages of experimentation have the potential to find clinical application in other autoimmune disorders, whether more common or rare. This adaptability is due to their varying degrees of specificity and </w:t>
      </w:r>
      <w:r w:rsidRPr="008B1A84">
        <w:rPr>
          <w:lang w:val="en-US"/>
        </w:rPr>
        <w:lastRenderedPageBreak/>
        <w:t>their ability to intervene in shared immune response pathways</w:t>
      </w:r>
      <w:r>
        <w:rPr>
          <w:lang w:val="en-US"/>
        </w:rPr>
        <w:t xml:space="preserve">, but </w:t>
      </w:r>
      <w:r w:rsidRPr="008B1A84">
        <w:rPr>
          <w:lang w:val="en-US"/>
        </w:rPr>
        <w:t xml:space="preserve">it is anticipated that additional therapies of this kind will receive approval for treating various forms of MG, thereby enhancing the clinical management of patients. </w:t>
      </w:r>
      <w:r>
        <w:rPr>
          <w:lang w:val="en-US"/>
        </w:rPr>
        <w:t xml:space="preserve">In addition to evidence coming from pivotal clinical trials, it is essential to carry out post-marketing studies aimed at evaluating the benefit-risk profile of these drugs in the real-world setting. This is particularly important in the field of rare diseases, where pre-marketing evidence is generally sparce due to several issues related to both the rarity of the diseases as well as to the feasibility of RCTs. </w:t>
      </w:r>
    </w:p>
    <w:p w14:paraId="5528CC10" w14:textId="77777777" w:rsidR="00E0319A" w:rsidRDefault="00E0319A" w:rsidP="00E0319A">
      <w:pPr>
        <w:spacing w:after="0" w:line="276" w:lineRule="auto"/>
        <w:jc w:val="both"/>
        <w:rPr>
          <w:lang w:val="en-US"/>
        </w:rPr>
      </w:pPr>
      <w:r w:rsidRPr="008B1A84">
        <w:rPr>
          <w:lang w:val="en-US"/>
        </w:rPr>
        <w:t xml:space="preserve">Simultaneously, it is essential to consider the recognition of orphan drug status, the associated regulatory procedures, and Health Technology Assessment evaluations. </w:t>
      </w:r>
      <w:r>
        <w:rPr>
          <w:lang w:val="en-US"/>
        </w:rPr>
        <w:t>Lastly</w:t>
      </w:r>
      <w:r w:rsidRPr="008B1A84">
        <w:rPr>
          <w:lang w:val="en-US"/>
        </w:rPr>
        <w:t>, experimental gene therapies represent innovative and highly personalized approaches</w:t>
      </w:r>
      <w:r>
        <w:rPr>
          <w:lang w:val="en-US"/>
        </w:rPr>
        <w:t>, holding</w:t>
      </w:r>
      <w:r w:rsidRPr="008B1A84">
        <w:rPr>
          <w:lang w:val="en-US"/>
        </w:rPr>
        <w:t xml:space="preserve"> the promise of introducing significant innovations to the therapeutic landscape of this rare disease. </w:t>
      </w:r>
    </w:p>
    <w:p w14:paraId="19295DE7" w14:textId="77777777" w:rsidR="00E0319A" w:rsidRDefault="00E0319A" w:rsidP="00E0319A">
      <w:pPr>
        <w:spacing w:after="0" w:line="276" w:lineRule="auto"/>
        <w:jc w:val="both"/>
        <w:rPr>
          <w:lang w:val="en-US"/>
        </w:rPr>
      </w:pPr>
    </w:p>
    <w:p w14:paraId="63042375" w14:textId="77777777" w:rsidR="00E0319A" w:rsidRDefault="00E0319A" w:rsidP="00E0319A">
      <w:pPr>
        <w:spacing w:line="276" w:lineRule="auto"/>
        <w:jc w:val="both"/>
        <w:rPr>
          <w:b/>
          <w:bCs/>
          <w:lang w:val="en-US"/>
        </w:rPr>
      </w:pPr>
      <w:r w:rsidRPr="0020380E">
        <w:rPr>
          <w:b/>
          <w:bCs/>
          <w:lang w:val="en-US"/>
        </w:rPr>
        <w:t>Statements and Declarations</w:t>
      </w:r>
    </w:p>
    <w:p w14:paraId="30D136B7" w14:textId="77777777" w:rsidR="00E0319A" w:rsidRDefault="00E0319A" w:rsidP="00E0319A">
      <w:pPr>
        <w:spacing w:line="276" w:lineRule="auto"/>
        <w:jc w:val="both"/>
        <w:rPr>
          <w:b/>
          <w:bCs/>
          <w:lang w:val="en-US"/>
        </w:rPr>
      </w:pPr>
      <w:r>
        <w:rPr>
          <w:b/>
          <w:bCs/>
          <w:lang w:val="en-US"/>
        </w:rPr>
        <w:t xml:space="preserve">Funding: </w:t>
      </w:r>
      <w:r w:rsidRPr="007032A6">
        <w:rPr>
          <w:lang w:val="en-US"/>
        </w:rPr>
        <w:t>Not applicable</w:t>
      </w:r>
      <w:r>
        <w:rPr>
          <w:lang w:val="en-US"/>
        </w:rPr>
        <w:t>.</w:t>
      </w:r>
    </w:p>
    <w:p w14:paraId="652CE3F1" w14:textId="5E08C90B" w:rsidR="00E0319A" w:rsidRPr="0020380E" w:rsidRDefault="00E0319A" w:rsidP="00E0319A">
      <w:pPr>
        <w:spacing w:line="276" w:lineRule="auto"/>
        <w:jc w:val="both"/>
        <w:rPr>
          <w:lang w:val="en-US"/>
        </w:rPr>
      </w:pPr>
      <w:r>
        <w:rPr>
          <w:b/>
          <w:bCs/>
          <w:lang w:val="en-US"/>
        </w:rPr>
        <w:t xml:space="preserve">Competing interests: </w:t>
      </w:r>
      <w:r w:rsidRPr="0020380E">
        <w:rPr>
          <w:lang w:val="en-US"/>
        </w:rPr>
        <w:t xml:space="preserve">GT has served in the last 3 years on advisory boards/seminars funded by Sanofi, Eli Lilly, AstraZeneca, </w:t>
      </w:r>
      <w:proofErr w:type="spellStart"/>
      <w:r w:rsidRPr="0020380E">
        <w:rPr>
          <w:lang w:val="en-US"/>
        </w:rPr>
        <w:t>Abbvie</w:t>
      </w:r>
      <w:proofErr w:type="spellEnd"/>
      <w:r w:rsidRPr="0020380E">
        <w:rPr>
          <w:lang w:val="en-US"/>
        </w:rPr>
        <w:t xml:space="preserve">, Novo Nordisk, Gilead, and Amgen; he is also a scientific coordinator of the academic spin-off “INSPIRE </w:t>
      </w:r>
      <w:proofErr w:type="spellStart"/>
      <w:r w:rsidRPr="0020380E">
        <w:rPr>
          <w:lang w:val="en-US"/>
        </w:rPr>
        <w:t>srl</w:t>
      </w:r>
      <w:proofErr w:type="spellEnd"/>
      <w:r w:rsidRPr="0020380E">
        <w:rPr>
          <w:lang w:val="en-US"/>
        </w:rPr>
        <w:t xml:space="preserve">”, which has received funding for conducting observational studies from several pharmaceutical companies. None of these listed activities is related to the topic of the article. </w:t>
      </w:r>
      <w:r>
        <w:rPr>
          <w:lang w:val="en-US"/>
        </w:rPr>
        <w:t xml:space="preserve">SC, BB, EB, MC, </w:t>
      </w:r>
      <w:r w:rsidR="00615B56">
        <w:rPr>
          <w:lang w:val="en-US"/>
        </w:rPr>
        <w:t xml:space="preserve">PM, </w:t>
      </w:r>
      <w:r>
        <w:rPr>
          <w:lang w:val="en-US"/>
        </w:rPr>
        <w:t>and ADL</w:t>
      </w:r>
      <w:r w:rsidRPr="0020380E">
        <w:rPr>
          <w:lang w:val="en-US"/>
        </w:rPr>
        <w:t xml:space="preserve"> have no other relevant affiliations or financial involvement with any organization or entity with a financial interest in or financial conflict with the subject matter or materials discussed in the article.</w:t>
      </w:r>
    </w:p>
    <w:p w14:paraId="367249CE" w14:textId="77777777" w:rsidR="00E0319A" w:rsidRDefault="00E0319A" w:rsidP="00E0319A">
      <w:pPr>
        <w:spacing w:line="276" w:lineRule="auto"/>
        <w:jc w:val="both"/>
        <w:rPr>
          <w:b/>
          <w:bCs/>
          <w:lang w:val="en-US"/>
        </w:rPr>
      </w:pPr>
      <w:r>
        <w:rPr>
          <w:b/>
          <w:bCs/>
          <w:lang w:val="en-US"/>
        </w:rPr>
        <w:t xml:space="preserve">Ethics approval: </w:t>
      </w:r>
      <w:r w:rsidRPr="007032A6">
        <w:rPr>
          <w:lang w:val="en-US"/>
        </w:rPr>
        <w:t>Not applicable.</w:t>
      </w:r>
    </w:p>
    <w:p w14:paraId="59863030" w14:textId="77777777" w:rsidR="00E0319A" w:rsidRDefault="00E0319A" w:rsidP="00E0319A">
      <w:pPr>
        <w:spacing w:line="276" w:lineRule="auto"/>
        <w:jc w:val="both"/>
        <w:rPr>
          <w:b/>
          <w:bCs/>
          <w:lang w:val="en-US"/>
        </w:rPr>
      </w:pPr>
      <w:r>
        <w:rPr>
          <w:b/>
          <w:bCs/>
          <w:lang w:val="en-US"/>
        </w:rPr>
        <w:t xml:space="preserve">Consent to participate: </w:t>
      </w:r>
      <w:r w:rsidRPr="007032A6">
        <w:rPr>
          <w:lang w:val="en-US"/>
        </w:rPr>
        <w:t>Not applicable.</w:t>
      </w:r>
    </w:p>
    <w:p w14:paraId="0BF37ECD" w14:textId="77777777" w:rsidR="00E0319A" w:rsidRPr="007032A6" w:rsidRDefault="00E0319A" w:rsidP="00E0319A">
      <w:pPr>
        <w:spacing w:line="276" w:lineRule="auto"/>
        <w:jc w:val="both"/>
        <w:rPr>
          <w:lang w:val="en-US"/>
        </w:rPr>
      </w:pPr>
      <w:r>
        <w:rPr>
          <w:b/>
          <w:bCs/>
          <w:lang w:val="en-US"/>
        </w:rPr>
        <w:t xml:space="preserve">Consent for publication: </w:t>
      </w:r>
      <w:r w:rsidRPr="007032A6">
        <w:rPr>
          <w:lang w:val="en-US"/>
        </w:rPr>
        <w:t>Not applicable.</w:t>
      </w:r>
    </w:p>
    <w:p w14:paraId="17543E64" w14:textId="77777777" w:rsidR="00E0319A" w:rsidRDefault="00E0319A" w:rsidP="00E0319A">
      <w:pPr>
        <w:spacing w:line="276" w:lineRule="auto"/>
        <w:jc w:val="both"/>
        <w:rPr>
          <w:b/>
          <w:bCs/>
          <w:lang w:val="en-US"/>
        </w:rPr>
      </w:pPr>
      <w:r>
        <w:rPr>
          <w:b/>
          <w:bCs/>
          <w:lang w:val="en-US"/>
        </w:rPr>
        <w:t xml:space="preserve">Availability of data and material: </w:t>
      </w:r>
      <w:r w:rsidRPr="007032A6">
        <w:rPr>
          <w:lang w:val="en-US"/>
        </w:rPr>
        <w:t>Not applicable.</w:t>
      </w:r>
    </w:p>
    <w:p w14:paraId="15EA337C" w14:textId="77777777" w:rsidR="00E0319A" w:rsidRDefault="00E0319A" w:rsidP="00E0319A">
      <w:pPr>
        <w:spacing w:line="276" w:lineRule="auto"/>
        <w:jc w:val="both"/>
        <w:rPr>
          <w:lang w:val="en-US"/>
        </w:rPr>
      </w:pPr>
      <w:r>
        <w:rPr>
          <w:b/>
          <w:bCs/>
          <w:lang w:val="en-US"/>
        </w:rPr>
        <w:t xml:space="preserve">Code availability: </w:t>
      </w:r>
      <w:r w:rsidRPr="007032A6">
        <w:rPr>
          <w:lang w:val="en-US"/>
        </w:rPr>
        <w:t>Not applicable.</w:t>
      </w:r>
    </w:p>
    <w:p w14:paraId="54C5D584" w14:textId="77777777" w:rsidR="00E0319A" w:rsidRPr="00375DA4" w:rsidRDefault="00E0319A" w:rsidP="00E0319A">
      <w:pPr>
        <w:spacing w:line="276" w:lineRule="auto"/>
        <w:jc w:val="both"/>
        <w:rPr>
          <w:lang w:val="en-US"/>
        </w:rPr>
        <w:sectPr w:rsidR="00E0319A" w:rsidRPr="00375DA4" w:rsidSect="007F4F7A">
          <w:pgSz w:w="11906" w:h="16838"/>
          <w:pgMar w:top="1417" w:right="1134" w:bottom="1134" w:left="1134" w:header="708" w:footer="708" w:gutter="0"/>
          <w:cols w:space="708"/>
          <w:docGrid w:linePitch="360"/>
        </w:sectPr>
      </w:pPr>
      <w:r w:rsidRPr="00375DA4">
        <w:rPr>
          <w:b/>
          <w:bCs/>
          <w:lang w:val="en-US"/>
        </w:rPr>
        <w:t>Author contributions:</w:t>
      </w:r>
      <w:r>
        <w:rPr>
          <w:lang w:val="en-US"/>
        </w:rPr>
        <w:t xml:space="preserve"> SC: literature search, writing, draft revision; BB: literature search, writing, draft revision; MC: literature search, writing, draft revision; EB: literature search, writing, draft revision; PM: literature search, writing, draft revision; GT: c</w:t>
      </w:r>
      <w:r w:rsidRPr="00375DA4">
        <w:rPr>
          <w:lang w:val="en-US"/>
        </w:rPr>
        <w:t>onceptualization, draft revision</w:t>
      </w:r>
      <w:r>
        <w:rPr>
          <w:lang w:val="en-US"/>
        </w:rPr>
        <w:t>; ADL: c</w:t>
      </w:r>
      <w:r w:rsidRPr="00375DA4">
        <w:rPr>
          <w:lang w:val="en-US"/>
        </w:rPr>
        <w:t>onceptualization, draft revision</w:t>
      </w:r>
      <w:r>
        <w:rPr>
          <w:lang w:val="en-US"/>
        </w:rPr>
        <w:t>. All authors have read and approved the final submitted manuscript.</w:t>
      </w:r>
    </w:p>
    <w:p w14:paraId="449D0F01" w14:textId="77777777" w:rsidR="00E0319A" w:rsidRPr="006960DF" w:rsidRDefault="00E0319A" w:rsidP="00E0319A">
      <w:pPr>
        <w:spacing w:after="0" w:line="276" w:lineRule="auto"/>
        <w:jc w:val="both"/>
        <w:rPr>
          <w:color w:val="000000"/>
          <w:lang w:val="en-US"/>
        </w:rPr>
      </w:pPr>
      <w:r w:rsidRPr="00857114">
        <w:rPr>
          <w:b/>
          <w:bCs/>
          <w:color w:val="000000"/>
          <w:lang w:val="en-US"/>
        </w:rPr>
        <w:lastRenderedPageBreak/>
        <w:t xml:space="preserve">Table </w:t>
      </w:r>
      <w:r>
        <w:rPr>
          <w:b/>
          <w:bCs/>
          <w:color w:val="000000"/>
          <w:lang w:val="en-US"/>
        </w:rPr>
        <w:t>1</w:t>
      </w:r>
      <w:r>
        <w:rPr>
          <w:color w:val="000000"/>
          <w:lang w:val="en-US"/>
        </w:rPr>
        <w:t>. Most commonly used scales for evaluating m</w:t>
      </w:r>
      <w:r w:rsidRPr="00674A66">
        <w:rPr>
          <w:color w:val="000000"/>
          <w:lang w:val="en-US"/>
        </w:rPr>
        <w:t xml:space="preserve">yasthenia gravis </w:t>
      </w:r>
      <w:r>
        <w:rPr>
          <w:color w:val="000000"/>
          <w:lang w:val="en-US"/>
        </w:rPr>
        <w:t>therapy efficacy in registrational RCTs.</w:t>
      </w:r>
    </w:p>
    <w:tbl>
      <w:tblPr>
        <w:tblStyle w:val="Grigliatabella"/>
        <w:tblW w:w="0" w:type="auto"/>
        <w:tblLook w:val="04A0" w:firstRow="1" w:lastRow="0" w:firstColumn="1" w:lastColumn="0" w:noHBand="0" w:noVBand="1"/>
      </w:tblPr>
      <w:tblGrid>
        <w:gridCol w:w="3964"/>
        <w:gridCol w:w="5664"/>
      </w:tblGrid>
      <w:tr w:rsidR="00E0319A" w:rsidRPr="00A9065E" w14:paraId="4254F29E" w14:textId="77777777" w:rsidTr="00E0158D">
        <w:trPr>
          <w:trHeight w:val="390"/>
        </w:trPr>
        <w:tc>
          <w:tcPr>
            <w:tcW w:w="3964" w:type="dxa"/>
            <w:vAlign w:val="center"/>
            <w:hideMark/>
          </w:tcPr>
          <w:p w14:paraId="58558256" w14:textId="77777777" w:rsidR="00E0319A" w:rsidRPr="00D03037" w:rsidRDefault="00E0319A" w:rsidP="00E0158D">
            <w:pPr>
              <w:spacing w:before="20" w:after="20"/>
              <w:jc w:val="both"/>
              <w:rPr>
                <w:rFonts w:eastAsia="Times New Roman" w:cstheme="minorHAnsi"/>
                <w:b/>
                <w:bCs/>
                <w:kern w:val="0"/>
                <w:lang w:eastAsia="it-IT"/>
                <w14:ligatures w14:val="none"/>
              </w:rPr>
            </w:pPr>
            <w:r w:rsidRPr="00D03037">
              <w:rPr>
                <w:rFonts w:eastAsia="Times New Roman" w:cstheme="minorHAnsi"/>
                <w:b/>
                <w:bCs/>
                <w:kern w:val="0"/>
                <w:lang w:eastAsia="it-IT"/>
                <w14:ligatures w14:val="none"/>
              </w:rPr>
              <w:t>Scale</w:t>
            </w:r>
          </w:p>
        </w:tc>
        <w:tc>
          <w:tcPr>
            <w:tcW w:w="5664" w:type="dxa"/>
            <w:vAlign w:val="center"/>
            <w:hideMark/>
          </w:tcPr>
          <w:p w14:paraId="63760970" w14:textId="77777777" w:rsidR="00E0319A" w:rsidRPr="00D03037" w:rsidRDefault="00E0319A" w:rsidP="00E0158D">
            <w:pPr>
              <w:spacing w:before="20" w:after="20"/>
              <w:jc w:val="both"/>
              <w:rPr>
                <w:rFonts w:eastAsia="Times New Roman" w:cstheme="minorHAnsi"/>
                <w:b/>
                <w:bCs/>
                <w:kern w:val="0"/>
                <w:lang w:eastAsia="it-IT"/>
                <w14:ligatures w14:val="none"/>
              </w:rPr>
            </w:pPr>
            <w:proofErr w:type="spellStart"/>
            <w:r w:rsidRPr="00D03037">
              <w:rPr>
                <w:rFonts w:eastAsia="Times New Roman" w:cstheme="minorHAnsi"/>
                <w:b/>
                <w:bCs/>
                <w:kern w:val="0"/>
                <w:lang w:eastAsia="it-IT"/>
                <w14:ligatures w14:val="none"/>
              </w:rPr>
              <w:t>Description</w:t>
            </w:r>
            <w:proofErr w:type="spellEnd"/>
          </w:p>
        </w:tc>
      </w:tr>
      <w:tr w:rsidR="00E0319A" w:rsidRPr="008D15EA" w14:paraId="071A9740" w14:textId="77777777" w:rsidTr="00E0158D">
        <w:trPr>
          <w:trHeight w:val="680"/>
        </w:trPr>
        <w:tc>
          <w:tcPr>
            <w:tcW w:w="3964" w:type="dxa"/>
            <w:vAlign w:val="center"/>
            <w:hideMark/>
          </w:tcPr>
          <w:p w14:paraId="4FEC6493" w14:textId="1F689F13" w:rsidR="00E0319A" w:rsidRPr="00D03037" w:rsidRDefault="00E0319A" w:rsidP="00E0158D">
            <w:pPr>
              <w:spacing w:before="20" w:after="20"/>
              <w:jc w:val="both"/>
              <w:rPr>
                <w:rFonts w:eastAsia="Times New Roman" w:cstheme="minorHAnsi"/>
                <w:kern w:val="0"/>
                <w:lang w:val="en-US" w:eastAsia="it-IT"/>
                <w14:ligatures w14:val="none"/>
              </w:rPr>
            </w:pPr>
            <w:r w:rsidRPr="00D03037">
              <w:rPr>
                <w:rFonts w:eastAsia="Times New Roman" w:cstheme="minorHAnsi"/>
                <w:kern w:val="0"/>
                <w:lang w:val="en-US" w:eastAsia="it-IT"/>
                <w14:ligatures w14:val="none"/>
              </w:rPr>
              <w:t>Myasthenia Gravis Foundation of America (MGFA) classification</w:t>
            </w:r>
            <w:r w:rsidR="00EA7828">
              <w:rPr>
                <w:rFonts w:eastAsia="Times New Roman" w:cstheme="minorHAnsi"/>
                <w:kern w:val="0"/>
                <w:lang w:val="en-US" w:eastAsia="it-IT"/>
                <w14:ligatures w14:val="none"/>
              </w:rPr>
              <w:t xml:space="preserve"> [92]</w:t>
            </w:r>
          </w:p>
        </w:tc>
        <w:tc>
          <w:tcPr>
            <w:tcW w:w="5664" w:type="dxa"/>
            <w:vAlign w:val="center"/>
            <w:hideMark/>
          </w:tcPr>
          <w:p w14:paraId="3ADB38B0" w14:textId="77777777" w:rsidR="00E0319A" w:rsidRPr="00D03037" w:rsidRDefault="00E0319A" w:rsidP="00E0158D">
            <w:pPr>
              <w:spacing w:before="20" w:after="20"/>
              <w:jc w:val="both"/>
              <w:rPr>
                <w:rFonts w:eastAsia="Times New Roman" w:cstheme="minorHAnsi"/>
                <w:kern w:val="0"/>
                <w:lang w:val="en-US" w:eastAsia="it-IT"/>
                <w14:ligatures w14:val="none"/>
              </w:rPr>
            </w:pPr>
            <w:r w:rsidRPr="00D03037">
              <w:rPr>
                <w:rFonts w:eastAsia="Times New Roman" w:cstheme="minorHAnsi"/>
                <w:kern w:val="0"/>
                <w:lang w:val="en-US" w:eastAsia="it-IT"/>
                <w14:ligatures w14:val="none"/>
              </w:rPr>
              <w:t>A classification system categorizing MG severity based on muscle groups affected and functional impairment. Ranges from I (mild) to V (severe).</w:t>
            </w:r>
          </w:p>
        </w:tc>
      </w:tr>
      <w:tr w:rsidR="00E0319A" w:rsidRPr="00460D94" w14:paraId="275D6B4A" w14:textId="77777777" w:rsidTr="00E0158D">
        <w:trPr>
          <w:trHeight w:val="680"/>
        </w:trPr>
        <w:tc>
          <w:tcPr>
            <w:tcW w:w="3964" w:type="dxa"/>
            <w:vAlign w:val="center"/>
            <w:hideMark/>
          </w:tcPr>
          <w:p w14:paraId="22292787" w14:textId="301F1A00" w:rsidR="00E0319A" w:rsidRPr="00EA7828" w:rsidRDefault="00E0319A" w:rsidP="00E0158D">
            <w:pPr>
              <w:spacing w:before="20" w:after="20"/>
              <w:jc w:val="both"/>
              <w:rPr>
                <w:rFonts w:eastAsia="Times New Roman" w:cstheme="minorHAnsi"/>
                <w:kern w:val="0"/>
                <w:lang w:val="en-US" w:eastAsia="it-IT"/>
                <w14:ligatures w14:val="none"/>
              </w:rPr>
            </w:pPr>
            <w:r w:rsidRPr="00D03037">
              <w:rPr>
                <w:rFonts w:eastAsia="Times New Roman" w:cstheme="minorHAnsi"/>
                <w:kern w:val="0"/>
                <w:lang w:val="en-US" w:eastAsia="it-IT"/>
                <w14:ligatures w14:val="none"/>
              </w:rPr>
              <w:t>Myasthenia Gravis Activities of Daily Living (MG-ADL) scale</w:t>
            </w:r>
            <w:r w:rsidR="00EA7828">
              <w:rPr>
                <w:rFonts w:eastAsia="Times New Roman" w:cstheme="minorHAnsi"/>
                <w:kern w:val="0"/>
                <w:lang w:val="en-US" w:eastAsia="it-IT"/>
                <w14:ligatures w14:val="none"/>
              </w:rPr>
              <w:t xml:space="preserve"> [93]</w:t>
            </w:r>
          </w:p>
        </w:tc>
        <w:tc>
          <w:tcPr>
            <w:tcW w:w="5664" w:type="dxa"/>
            <w:vAlign w:val="center"/>
            <w:hideMark/>
          </w:tcPr>
          <w:p w14:paraId="1FDE1F24" w14:textId="77777777" w:rsidR="00E0319A" w:rsidRPr="00D03037" w:rsidRDefault="00E0319A" w:rsidP="00E0158D">
            <w:pPr>
              <w:spacing w:before="20" w:after="20"/>
              <w:jc w:val="both"/>
              <w:rPr>
                <w:rFonts w:eastAsia="Times New Roman" w:cstheme="minorHAnsi"/>
                <w:kern w:val="0"/>
                <w:lang w:val="en-US" w:eastAsia="it-IT"/>
                <w14:ligatures w14:val="none"/>
              </w:rPr>
            </w:pPr>
            <w:r w:rsidRPr="00D03037">
              <w:rPr>
                <w:rFonts w:eastAsia="Times New Roman" w:cstheme="minorHAnsi"/>
                <w:kern w:val="0"/>
                <w:lang w:val="en-US" w:eastAsia="it-IT"/>
                <w14:ligatures w14:val="none"/>
              </w:rPr>
              <w:t>An 8-item scale assessing MG's impact on daily activities, namely talking, chewing, swallowing, breathing, brushing teeth or hair, arising from chair. Measures the degree of difficulty in performing these activities. In addition, the scale evaluates the occurring of double vision, and eyelid drop.</w:t>
            </w:r>
          </w:p>
        </w:tc>
      </w:tr>
      <w:tr w:rsidR="00E0319A" w:rsidRPr="00A9065E" w14:paraId="5D2ABFF4" w14:textId="77777777" w:rsidTr="00E0158D">
        <w:trPr>
          <w:trHeight w:val="680"/>
        </w:trPr>
        <w:tc>
          <w:tcPr>
            <w:tcW w:w="3964" w:type="dxa"/>
            <w:vAlign w:val="center"/>
            <w:hideMark/>
          </w:tcPr>
          <w:p w14:paraId="45E9CD19" w14:textId="7F078E72" w:rsidR="00E0319A" w:rsidRPr="008D15EA" w:rsidRDefault="00E0319A" w:rsidP="00E0158D">
            <w:pPr>
              <w:spacing w:before="20" w:after="20"/>
              <w:jc w:val="both"/>
              <w:rPr>
                <w:rFonts w:eastAsia="Times New Roman" w:cstheme="minorHAnsi"/>
                <w:kern w:val="0"/>
                <w:lang w:eastAsia="it-IT"/>
                <w14:ligatures w14:val="none"/>
              </w:rPr>
            </w:pPr>
            <w:r w:rsidRPr="00D03037">
              <w:rPr>
                <w:rFonts w:eastAsia="Times New Roman" w:cstheme="minorHAnsi"/>
                <w:kern w:val="0"/>
                <w:lang w:val="fr-FR" w:eastAsia="it-IT"/>
                <w14:ligatures w14:val="none"/>
              </w:rPr>
              <w:t xml:space="preserve">Quantitative </w:t>
            </w:r>
            <w:proofErr w:type="spellStart"/>
            <w:r w:rsidRPr="00D03037">
              <w:rPr>
                <w:rFonts w:eastAsia="Times New Roman" w:cstheme="minorHAnsi"/>
                <w:kern w:val="0"/>
                <w:lang w:val="fr-FR" w:eastAsia="it-IT"/>
                <w14:ligatures w14:val="none"/>
              </w:rPr>
              <w:t>Myasthenia</w:t>
            </w:r>
            <w:proofErr w:type="spellEnd"/>
            <w:r w:rsidRPr="00D03037">
              <w:rPr>
                <w:rFonts w:eastAsia="Times New Roman" w:cstheme="minorHAnsi"/>
                <w:kern w:val="0"/>
                <w:lang w:val="fr-FR" w:eastAsia="it-IT"/>
                <w14:ligatures w14:val="none"/>
              </w:rPr>
              <w:t xml:space="preserve"> Gravis (QMG) </w:t>
            </w:r>
            <w:proofErr w:type="spellStart"/>
            <w:r w:rsidRPr="00D03037">
              <w:rPr>
                <w:rFonts w:eastAsia="Times New Roman" w:cstheme="minorHAnsi"/>
                <w:kern w:val="0"/>
                <w:lang w:val="fr-FR" w:eastAsia="it-IT"/>
                <w14:ligatures w14:val="none"/>
              </w:rPr>
              <w:t>scale</w:t>
            </w:r>
            <w:proofErr w:type="spellEnd"/>
            <w:r w:rsidR="00436135">
              <w:rPr>
                <w:rFonts w:eastAsia="Times New Roman" w:cstheme="minorHAnsi"/>
                <w:kern w:val="0"/>
                <w:lang w:val="fr-FR" w:eastAsia="it-IT"/>
                <w14:ligatures w14:val="none"/>
              </w:rPr>
              <w:t xml:space="preserve"> [94]</w:t>
            </w:r>
          </w:p>
        </w:tc>
        <w:tc>
          <w:tcPr>
            <w:tcW w:w="5664" w:type="dxa"/>
            <w:vAlign w:val="center"/>
            <w:hideMark/>
          </w:tcPr>
          <w:p w14:paraId="356E2268" w14:textId="77777777" w:rsidR="00E0319A" w:rsidRPr="00D03037" w:rsidRDefault="00E0319A" w:rsidP="00E0158D">
            <w:pPr>
              <w:spacing w:before="20" w:after="20"/>
              <w:jc w:val="both"/>
              <w:rPr>
                <w:rFonts w:eastAsia="Times New Roman" w:cstheme="minorHAnsi"/>
                <w:kern w:val="0"/>
                <w:lang w:val="en-US" w:eastAsia="it-IT"/>
                <w14:ligatures w14:val="none"/>
              </w:rPr>
            </w:pPr>
            <w:r w:rsidRPr="00D03037">
              <w:rPr>
                <w:rFonts w:eastAsia="Times New Roman" w:cstheme="minorHAnsi"/>
                <w:kern w:val="0"/>
                <w:lang w:val="en-US" w:eastAsia="it-IT"/>
                <w14:ligatures w14:val="none"/>
              </w:rPr>
              <w:t xml:space="preserve">A 13-item scale quantifying muscle weakness and fatigability. Each item assesses specific muscle groups through manual testing. The total score indicates overall muscle impairment. </w:t>
            </w:r>
          </w:p>
        </w:tc>
      </w:tr>
      <w:tr w:rsidR="00E0319A" w:rsidRPr="00460D94" w14:paraId="0E1FF98D" w14:textId="77777777" w:rsidTr="00E0158D">
        <w:trPr>
          <w:trHeight w:val="680"/>
        </w:trPr>
        <w:tc>
          <w:tcPr>
            <w:tcW w:w="3964" w:type="dxa"/>
            <w:vAlign w:val="center"/>
            <w:hideMark/>
          </w:tcPr>
          <w:p w14:paraId="4C12DB1E" w14:textId="02076FBD" w:rsidR="00E0319A" w:rsidRPr="00D03037" w:rsidRDefault="00E0319A" w:rsidP="00E0158D">
            <w:pPr>
              <w:spacing w:before="20" w:after="20"/>
              <w:jc w:val="both"/>
              <w:rPr>
                <w:rFonts w:eastAsia="Times New Roman" w:cstheme="minorHAnsi"/>
                <w:kern w:val="0"/>
                <w:lang w:val="fr-FR" w:eastAsia="it-IT"/>
                <w14:ligatures w14:val="none"/>
              </w:rPr>
            </w:pPr>
            <w:proofErr w:type="spellStart"/>
            <w:r w:rsidRPr="00D03037">
              <w:rPr>
                <w:rFonts w:eastAsia="Times New Roman" w:cstheme="minorHAnsi"/>
                <w:kern w:val="0"/>
                <w:lang w:val="fr-FR" w:eastAsia="it-IT"/>
                <w14:ligatures w14:val="none"/>
              </w:rPr>
              <w:t>Myasthenia</w:t>
            </w:r>
            <w:proofErr w:type="spellEnd"/>
            <w:r w:rsidRPr="00D03037">
              <w:rPr>
                <w:rFonts w:eastAsia="Times New Roman" w:cstheme="minorHAnsi"/>
                <w:kern w:val="0"/>
                <w:lang w:val="fr-FR" w:eastAsia="it-IT"/>
                <w14:ligatures w14:val="none"/>
              </w:rPr>
              <w:t xml:space="preserve"> Gravis Composite (MGC) </w:t>
            </w:r>
            <w:proofErr w:type="spellStart"/>
            <w:r w:rsidRPr="00D03037">
              <w:rPr>
                <w:rFonts w:eastAsia="Times New Roman" w:cstheme="minorHAnsi"/>
                <w:kern w:val="0"/>
                <w:lang w:val="fr-FR" w:eastAsia="it-IT"/>
                <w14:ligatures w14:val="none"/>
              </w:rPr>
              <w:t>scale</w:t>
            </w:r>
            <w:proofErr w:type="spellEnd"/>
            <w:r w:rsidR="00436135">
              <w:rPr>
                <w:rFonts w:eastAsia="Times New Roman" w:cstheme="minorHAnsi"/>
                <w:kern w:val="0"/>
                <w:lang w:val="fr-FR" w:eastAsia="it-IT"/>
                <w14:ligatures w14:val="none"/>
              </w:rPr>
              <w:t xml:space="preserve"> [95]</w:t>
            </w:r>
          </w:p>
        </w:tc>
        <w:tc>
          <w:tcPr>
            <w:tcW w:w="5664" w:type="dxa"/>
            <w:vAlign w:val="center"/>
            <w:hideMark/>
          </w:tcPr>
          <w:p w14:paraId="0A6CE1D2" w14:textId="77777777" w:rsidR="00E0319A" w:rsidRPr="00D03037" w:rsidRDefault="00E0319A" w:rsidP="00E0158D">
            <w:pPr>
              <w:spacing w:before="20" w:after="20"/>
              <w:jc w:val="both"/>
              <w:rPr>
                <w:rFonts w:eastAsia="Times New Roman" w:cstheme="minorHAnsi"/>
                <w:kern w:val="0"/>
                <w:lang w:val="en-US" w:eastAsia="it-IT"/>
                <w14:ligatures w14:val="none"/>
              </w:rPr>
            </w:pPr>
            <w:r w:rsidRPr="00D03037">
              <w:rPr>
                <w:rFonts w:eastAsia="Times New Roman" w:cstheme="minorHAnsi"/>
                <w:kern w:val="0"/>
                <w:lang w:val="en-US" w:eastAsia="it-IT"/>
                <w14:ligatures w14:val="none"/>
              </w:rPr>
              <w:t xml:space="preserve">A comprehensive scale combining QMG scores, MG-ADL scores, and physician's assessment. Offers a holistic view of disease severity by considering various clinical measures. </w:t>
            </w:r>
          </w:p>
        </w:tc>
      </w:tr>
      <w:tr w:rsidR="00E0319A" w:rsidRPr="00A9065E" w14:paraId="76F814EB" w14:textId="77777777" w:rsidTr="00E0158D">
        <w:trPr>
          <w:trHeight w:val="680"/>
        </w:trPr>
        <w:tc>
          <w:tcPr>
            <w:tcW w:w="3964" w:type="dxa"/>
            <w:vAlign w:val="center"/>
            <w:hideMark/>
          </w:tcPr>
          <w:p w14:paraId="7BB55BE7" w14:textId="622C0645" w:rsidR="00E0319A" w:rsidRPr="00436135" w:rsidRDefault="00E0319A" w:rsidP="00E0158D">
            <w:pPr>
              <w:spacing w:before="20" w:after="20"/>
              <w:jc w:val="both"/>
              <w:rPr>
                <w:rFonts w:eastAsia="Times New Roman" w:cstheme="minorHAnsi"/>
                <w:kern w:val="0"/>
                <w:lang w:val="en-US" w:eastAsia="it-IT"/>
                <w14:ligatures w14:val="none"/>
              </w:rPr>
            </w:pPr>
            <w:r w:rsidRPr="00D03037">
              <w:rPr>
                <w:rFonts w:eastAsia="Times New Roman" w:cstheme="minorHAnsi"/>
                <w:kern w:val="0"/>
                <w:lang w:val="en-US" w:eastAsia="it-IT"/>
                <w14:ligatures w14:val="none"/>
              </w:rPr>
              <w:t>15-item Myasthenia Gravis Quality of Life (MG-QOL15) questionnaire</w:t>
            </w:r>
            <w:r w:rsidR="00436135">
              <w:rPr>
                <w:rFonts w:eastAsia="Times New Roman" w:cstheme="minorHAnsi"/>
                <w:kern w:val="0"/>
                <w:lang w:val="en-US" w:eastAsia="it-IT"/>
                <w14:ligatures w14:val="none"/>
              </w:rPr>
              <w:t xml:space="preserve"> [96]</w:t>
            </w:r>
          </w:p>
        </w:tc>
        <w:tc>
          <w:tcPr>
            <w:tcW w:w="5664" w:type="dxa"/>
            <w:vAlign w:val="center"/>
            <w:hideMark/>
          </w:tcPr>
          <w:p w14:paraId="7793AA45" w14:textId="77777777" w:rsidR="00E0319A" w:rsidRPr="00D03037" w:rsidRDefault="00E0319A" w:rsidP="00E0158D">
            <w:pPr>
              <w:spacing w:before="20" w:after="20"/>
              <w:jc w:val="both"/>
              <w:rPr>
                <w:rFonts w:eastAsia="Times New Roman" w:cstheme="minorHAnsi"/>
                <w:kern w:val="0"/>
                <w:lang w:val="en-US" w:eastAsia="it-IT"/>
                <w14:ligatures w14:val="none"/>
              </w:rPr>
            </w:pPr>
            <w:r w:rsidRPr="00D03037">
              <w:rPr>
                <w:rFonts w:eastAsia="Times New Roman" w:cstheme="minorHAnsi"/>
                <w:kern w:val="0"/>
                <w:lang w:val="en-US" w:eastAsia="it-IT"/>
                <w14:ligatures w14:val="none"/>
              </w:rPr>
              <w:t xml:space="preserve">Questionnaire with 15 items assessing the impact of MG symptoms and treatment on patients' quality of life. Covers physical, emotional, and social aspects of well-being. </w:t>
            </w:r>
          </w:p>
        </w:tc>
      </w:tr>
    </w:tbl>
    <w:p w14:paraId="26478551" w14:textId="77777777" w:rsidR="00E0319A" w:rsidRDefault="00E0319A" w:rsidP="00E0319A">
      <w:pPr>
        <w:spacing w:after="0" w:line="276" w:lineRule="auto"/>
        <w:jc w:val="both"/>
        <w:rPr>
          <w:b/>
          <w:bCs/>
          <w:lang w:val="en-US"/>
        </w:rPr>
      </w:pPr>
      <w:r>
        <w:rPr>
          <w:b/>
          <w:bCs/>
          <w:lang w:val="en-US"/>
        </w:rPr>
        <w:t xml:space="preserve">Abbreviations: </w:t>
      </w:r>
      <w:r w:rsidRPr="00687F42">
        <w:rPr>
          <w:lang w:val="en-US"/>
        </w:rPr>
        <w:t>MG = myasthenia gravis</w:t>
      </w:r>
    </w:p>
    <w:p w14:paraId="20D23757" w14:textId="77777777" w:rsidR="00E0319A" w:rsidRDefault="00E0319A" w:rsidP="00E0319A">
      <w:pPr>
        <w:jc w:val="both"/>
        <w:rPr>
          <w:b/>
          <w:bCs/>
          <w:lang w:val="en-US"/>
        </w:rPr>
        <w:sectPr w:rsidR="00E0319A" w:rsidSect="008D6B25">
          <w:pgSz w:w="11906" w:h="16838"/>
          <w:pgMar w:top="1417" w:right="1134" w:bottom="1134" w:left="1134" w:header="708" w:footer="708" w:gutter="0"/>
          <w:cols w:space="708"/>
          <w:docGrid w:linePitch="360"/>
        </w:sectPr>
      </w:pPr>
    </w:p>
    <w:p w14:paraId="3BA1BFF3" w14:textId="1D95B724" w:rsidR="00E0319A" w:rsidRDefault="00E0319A" w:rsidP="00E0319A">
      <w:pPr>
        <w:spacing w:after="0" w:line="240" w:lineRule="auto"/>
        <w:rPr>
          <w:sz w:val="20"/>
          <w:szCs w:val="20"/>
          <w:lang w:val="en-US"/>
        </w:rPr>
      </w:pPr>
      <w:r w:rsidRPr="00041B9F">
        <w:rPr>
          <w:b/>
          <w:bCs/>
          <w:sz w:val="20"/>
          <w:szCs w:val="20"/>
          <w:lang w:val="en-US"/>
        </w:rPr>
        <w:lastRenderedPageBreak/>
        <w:t>Fig</w:t>
      </w:r>
      <w:r>
        <w:rPr>
          <w:b/>
          <w:bCs/>
          <w:sz w:val="20"/>
          <w:szCs w:val="20"/>
          <w:lang w:val="en-US"/>
        </w:rPr>
        <w:t>.</w:t>
      </w:r>
      <w:r w:rsidRPr="00041B9F">
        <w:rPr>
          <w:b/>
          <w:bCs/>
          <w:sz w:val="20"/>
          <w:szCs w:val="20"/>
          <w:lang w:val="en-US"/>
        </w:rPr>
        <w:t xml:space="preserve"> </w:t>
      </w:r>
      <w:r>
        <w:rPr>
          <w:b/>
          <w:bCs/>
          <w:sz w:val="20"/>
          <w:szCs w:val="20"/>
          <w:lang w:val="en-US"/>
        </w:rPr>
        <w:t>1</w:t>
      </w:r>
      <w:r w:rsidRPr="00041B9F">
        <w:rPr>
          <w:b/>
          <w:bCs/>
          <w:sz w:val="20"/>
          <w:szCs w:val="20"/>
          <w:lang w:val="en-US"/>
        </w:rPr>
        <w:t xml:space="preserve">. </w:t>
      </w:r>
      <w:r w:rsidRPr="00041B9F">
        <w:rPr>
          <w:sz w:val="20"/>
          <w:szCs w:val="20"/>
          <w:lang w:val="en-US"/>
        </w:rPr>
        <w:t xml:space="preserve">Innovative drugs for </w:t>
      </w:r>
      <w:r>
        <w:rPr>
          <w:sz w:val="20"/>
          <w:szCs w:val="20"/>
          <w:lang w:val="en-US"/>
        </w:rPr>
        <w:t>myasthenia gravis</w:t>
      </w:r>
      <w:r w:rsidRPr="00041B9F">
        <w:rPr>
          <w:sz w:val="20"/>
          <w:szCs w:val="20"/>
          <w:lang w:val="en-US"/>
        </w:rPr>
        <w:t xml:space="preserve"> therapy and their primary mechanism of action.</w:t>
      </w:r>
      <w:r>
        <w:rPr>
          <w:sz w:val="20"/>
          <w:szCs w:val="20"/>
          <w:lang w:val="en-US"/>
        </w:rPr>
        <w:t xml:space="preserve"> </w:t>
      </w:r>
    </w:p>
    <w:p w14:paraId="474DA1B9" w14:textId="139F9967" w:rsidR="00E0319A" w:rsidRDefault="00E0319A" w:rsidP="00E0319A">
      <w:pPr>
        <w:spacing w:after="0" w:line="240" w:lineRule="auto"/>
        <w:jc w:val="both"/>
        <w:rPr>
          <w:sz w:val="20"/>
          <w:szCs w:val="20"/>
          <w:lang w:val="en-US"/>
        </w:rPr>
      </w:pPr>
      <w:r w:rsidRPr="00520442">
        <w:rPr>
          <w:b/>
          <w:bCs/>
          <w:sz w:val="20"/>
          <w:szCs w:val="20"/>
          <w:lang w:val="en-US"/>
        </w:rPr>
        <w:t>Abbreviations:</w:t>
      </w:r>
      <w:r w:rsidRPr="00520442">
        <w:rPr>
          <w:sz w:val="20"/>
          <w:szCs w:val="20"/>
          <w:lang w:val="en-US"/>
        </w:rPr>
        <w:t xml:space="preserve"> </w:t>
      </w:r>
      <w:proofErr w:type="spellStart"/>
      <w:r w:rsidRPr="00520442">
        <w:rPr>
          <w:sz w:val="20"/>
          <w:szCs w:val="20"/>
          <w:lang w:val="en-US"/>
        </w:rPr>
        <w:t>ACh</w:t>
      </w:r>
      <w:proofErr w:type="spellEnd"/>
      <w:r w:rsidRPr="00520442">
        <w:rPr>
          <w:sz w:val="20"/>
          <w:szCs w:val="20"/>
          <w:lang w:val="en-US"/>
        </w:rPr>
        <w:t xml:space="preserve"> = acetylcholine; </w:t>
      </w:r>
      <w:proofErr w:type="spellStart"/>
      <w:r w:rsidRPr="00520442">
        <w:rPr>
          <w:sz w:val="20"/>
          <w:szCs w:val="20"/>
          <w:lang w:val="en-US"/>
        </w:rPr>
        <w:t>AChR</w:t>
      </w:r>
      <w:proofErr w:type="spellEnd"/>
      <w:r w:rsidRPr="00520442">
        <w:rPr>
          <w:sz w:val="20"/>
          <w:szCs w:val="20"/>
          <w:lang w:val="en-US"/>
        </w:rPr>
        <w:t xml:space="preserve"> = acetylcholine receptor; FcRn = neonatal Fc receptor.</w:t>
      </w:r>
    </w:p>
    <w:p w14:paraId="084204E3" w14:textId="77777777" w:rsidR="00E0319A" w:rsidRPr="00520442" w:rsidRDefault="00E0319A" w:rsidP="00E0319A">
      <w:pPr>
        <w:spacing w:after="0" w:line="240" w:lineRule="auto"/>
        <w:jc w:val="both"/>
        <w:rPr>
          <w:noProof/>
          <w:lang w:val="en-US"/>
        </w:rPr>
      </w:pPr>
      <w:r>
        <w:rPr>
          <w:sz w:val="20"/>
          <w:szCs w:val="20"/>
          <w:lang w:val="en-US"/>
        </w:rPr>
        <w:t>In red are reported drugs approved for the treatment of myasthenia gravis. In turquoise are reported drugs currently under evaluation for the treatment of myasthenia gravis.</w:t>
      </w:r>
    </w:p>
    <w:p w14:paraId="67C2214C" w14:textId="77777777" w:rsidR="00E0319A" w:rsidRDefault="00E0319A" w:rsidP="00E0319A">
      <w:pPr>
        <w:jc w:val="both"/>
        <w:rPr>
          <w:b/>
          <w:bCs/>
          <w:lang w:val="en-US"/>
        </w:rPr>
        <w:sectPr w:rsidR="00E0319A" w:rsidSect="008D6B25">
          <w:pgSz w:w="11906" w:h="16838"/>
          <w:pgMar w:top="1417" w:right="1134" w:bottom="1134" w:left="1134" w:header="708" w:footer="708" w:gutter="0"/>
          <w:cols w:space="708"/>
          <w:docGrid w:linePitch="360"/>
        </w:sectPr>
      </w:pPr>
    </w:p>
    <w:p w14:paraId="1D846097" w14:textId="77777777" w:rsidR="00E0319A" w:rsidRPr="00947643" w:rsidRDefault="00E0319A" w:rsidP="00E0319A">
      <w:pPr>
        <w:spacing w:line="276" w:lineRule="auto"/>
        <w:jc w:val="both"/>
        <w:rPr>
          <w:sz w:val="20"/>
          <w:szCs w:val="20"/>
          <w:lang w:val="en-US"/>
        </w:rPr>
      </w:pPr>
      <w:r w:rsidRPr="00947643">
        <w:rPr>
          <w:b/>
          <w:bCs/>
          <w:sz w:val="20"/>
          <w:szCs w:val="20"/>
          <w:lang w:val="en-US"/>
        </w:rPr>
        <w:lastRenderedPageBreak/>
        <w:t xml:space="preserve">Table </w:t>
      </w:r>
      <w:r>
        <w:rPr>
          <w:b/>
          <w:bCs/>
          <w:sz w:val="20"/>
          <w:szCs w:val="20"/>
          <w:lang w:val="en-US"/>
        </w:rPr>
        <w:t>2</w:t>
      </w:r>
      <w:r w:rsidRPr="00947643">
        <w:rPr>
          <w:sz w:val="20"/>
          <w:szCs w:val="20"/>
          <w:lang w:val="en-US"/>
        </w:rPr>
        <w:t>. Preclinical studies related to the three newly approved therapies for MG treatment.</w:t>
      </w:r>
    </w:p>
    <w:tbl>
      <w:tblPr>
        <w:tblStyle w:val="Grigliatabella"/>
        <w:tblW w:w="9630" w:type="dxa"/>
        <w:tblBorders>
          <w:top w:val="single" w:sz="6" w:space="0" w:color="auto"/>
          <w:left w:val="single" w:sz="6" w:space="0" w:color="auto"/>
          <w:bottom w:val="single" w:sz="6" w:space="0" w:color="auto"/>
          <w:right w:val="single" w:sz="6" w:space="0" w:color="auto"/>
          <w:insideH w:val="single" w:sz="4" w:space="0" w:color="000000" w:themeColor="text1"/>
          <w:insideV w:val="single" w:sz="4" w:space="0" w:color="000000" w:themeColor="text1"/>
        </w:tblBorders>
        <w:tblLayout w:type="fixed"/>
        <w:tblLook w:val="04A0" w:firstRow="1" w:lastRow="0" w:firstColumn="1" w:lastColumn="0" w:noHBand="0" w:noVBand="1"/>
      </w:tblPr>
      <w:tblGrid>
        <w:gridCol w:w="1693"/>
        <w:gridCol w:w="2127"/>
        <w:gridCol w:w="5810"/>
      </w:tblGrid>
      <w:tr w:rsidR="00E0319A" w:rsidRPr="00A91561" w14:paraId="6A7E4224" w14:textId="77777777" w:rsidTr="00E0319A">
        <w:trPr>
          <w:trHeight w:val="407"/>
        </w:trPr>
        <w:tc>
          <w:tcPr>
            <w:tcW w:w="1693" w:type="dxa"/>
            <w:tcMar>
              <w:left w:w="105" w:type="dxa"/>
              <w:right w:w="105" w:type="dxa"/>
            </w:tcMar>
            <w:vAlign w:val="center"/>
          </w:tcPr>
          <w:p w14:paraId="7A7A3D9E" w14:textId="77777777" w:rsidR="00E0319A" w:rsidRPr="00A91561" w:rsidRDefault="00E0319A" w:rsidP="00E0158D">
            <w:pPr>
              <w:spacing w:line="276" w:lineRule="auto"/>
              <w:jc w:val="center"/>
              <w:rPr>
                <w:rFonts w:eastAsia="Calibri Light" w:cstheme="minorHAnsi"/>
                <w:color w:val="212121"/>
                <w:sz w:val="20"/>
                <w:szCs w:val="20"/>
              </w:rPr>
            </w:pPr>
            <w:r w:rsidRPr="00947643">
              <w:rPr>
                <w:rFonts w:eastAsia="Calibri Light" w:cstheme="minorHAnsi"/>
                <w:b/>
                <w:bCs/>
                <w:color w:val="212121"/>
                <w:sz w:val="20"/>
                <w:szCs w:val="20"/>
              </w:rPr>
              <w:t>Drug</w:t>
            </w:r>
          </w:p>
        </w:tc>
        <w:tc>
          <w:tcPr>
            <w:tcW w:w="2127" w:type="dxa"/>
            <w:tcMar>
              <w:left w:w="105" w:type="dxa"/>
              <w:right w:w="105" w:type="dxa"/>
            </w:tcMar>
            <w:vAlign w:val="center"/>
          </w:tcPr>
          <w:p w14:paraId="3E9AE284" w14:textId="77777777" w:rsidR="00E0319A" w:rsidRPr="00A91561" w:rsidRDefault="00E0319A" w:rsidP="00E0158D">
            <w:pPr>
              <w:spacing w:line="276" w:lineRule="auto"/>
              <w:jc w:val="center"/>
              <w:rPr>
                <w:rFonts w:eastAsia="Calibri Light" w:cstheme="minorHAnsi"/>
                <w:color w:val="212121"/>
                <w:sz w:val="20"/>
                <w:szCs w:val="20"/>
              </w:rPr>
            </w:pPr>
            <w:proofErr w:type="spellStart"/>
            <w:r w:rsidRPr="00947643">
              <w:rPr>
                <w:rFonts w:eastAsia="Calibri Light" w:cstheme="minorHAnsi"/>
                <w:b/>
                <w:bCs/>
                <w:color w:val="212121"/>
                <w:sz w:val="20"/>
                <w:szCs w:val="20"/>
              </w:rPr>
              <w:t>Mechanism</w:t>
            </w:r>
            <w:proofErr w:type="spellEnd"/>
            <w:r w:rsidRPr="00947643">
              <w:rPr>
                <w:rFonts w:eastAsia="Calibri Light" w:cstheme="minorHAnsi"/>
                <w:b/>
                <w:bCs/>
                <w:color w:val="212121"/>
                <w:sz w:val="20"/>
                <w:szCs w:val="20"/>
              </w:rPr>
              <w:t xml:space="preserve"> of Action</w:t>
            </w:r>
          </w:p>
        </w:tc>
        <w:tc>
          <w:tcPr>
            <w:tcW w:w="5810" w:type="dxa"/>
            <w:tcMar>
              <w:left w:w="105" w:type="dxa"/>
              <w:right w:w="105" w:type="dxa"/>
            </w:tcMar>
            <w:vAlign w:val="center"/>
          </w:tcPr>
          <w:p w14:paraId="56F0AF34" w14:textId="77777777" w:rsidR="00E0319A" w:rsidRPr="00A91561" w:rsidRDefault="00E0319A" w:rsidP="00E0158D">
            <w:pPr>
              <w:spacing w:line="276" w:lineRule="auto"/>
              <w:rPr>
                <w:rFonts w:eastAsia="Calibri Light" w:cstheme="minorHAnsi"/>
                <w:color w:val="212121"/>
                <w:sz w:val="20"/>
                <w:szCs w:val="20"/>
              </w:rPr>
            </w:pPr>
            <w:proofErr w:type="spellStart"/>
            <w:r w:rsidRPr="00947643">
              <w:rPr>
                <w:rFonts w:eastAsia="Calibri Light" w:cstheme="minorHAnsi"/>
                <w:b/>
                <w:bCs/>
                <w:color w:val="212121"/>
                <w:sz w:val="20"/>
                <w:szCs w:val="20"/>
              </w:rPr>
              <w:t>Preclinical</w:t>
            </w:r>
            <w:proofErr w:type="spellEnd"/>
            <w:r w:rsidRPr="00947643">
              <w:rPr>
                <w:rFonts w:eastAsia="Calibri Light" w:cstheme="minorHAnsi"/>
                <w:b/>
                <w:bCs/>
                <w:color w:val="212121"/>
                <w:sz w:val="20"/>
                <w:szCs w:val="20"/>
              </w:rPr>
              <w:t xml:space="preserve"> Studies</w:t>
            </w:r>
          </w:p>
        </w:tc>
      </w:tr>
      <w:tr w:rsidR="00E0319A" w:rsidRPr="00E0319A" w14:paraId="6BD9BEF9" w14:textId="77777777" w:rsidTr="00E0319A">
        <w:trPr>
          <w:trHeight w:val="300"/>
        </w:trPr>
        <w:tc>
          <w:tcPr>
            <w:tcW w:w="1693" w:type="dxa"/>
            <w:tcMar>
              <w:left w:w="105" w:type="dxa"/>
              <w:right w:w="105" w:type="dxa"/>
            </w:tcMar>
            <w:vAlign w:val="center"/>
          </w:tcPr>
          <w:p w14:paraId="08BC60A2" w14:textId="77777777" w:rsidR="00E0319A" w:rsidRPr="00A91561" w:rsidRDefault="00E0319A" w:rsidP="00E0158D">
            <w:pPr>
              <w:spacing w:line="276" w:lineRule="auto"/>
              <w:jc w:val="center"/>
              <w:rPr>
                <w:rFonts w:eastAsia="Calibri Light" w:cstheme="minorHAnsi"/>
                <w:color w:val="212121"/>
                <w:sz w:val="20"/>
                <w:szCs w:val="20"/>
              </w:rPr>
            </w:pPr>
            <w:proofErr w:type="spellStart"/>
            <w:r>
              <w:rPr>
                <w:rFonts w:eastAsia="Calibri Light" w:cstheme="minorHAnsi"/>
                <w:color w:val="212121"/>
                <w:sz w:val="20"/>
                <w:szCs w:val="20"/>
              </w:rPr>
              <w:t>E</w:t>
            </w:r>
            <w:r w:rsidRPr="00A91561">
              <w:rPr>
                <w:rFonts w:eastAsia="Calibri Light" w:cstheme="minorHAnsi"/>
                <w:color w:val="212121"/>
                <w:sz w:val="20"/>
                <w:szCs w:val="20"/>
              </w:rPr>
              <w:t>culizumab</w:t>
            </w:r>
            <w:proofErr w:type="spellEnd"/>
          </w:p>
        </w:tc>
        <w:tc>
          <w:tcPr>
            <w:tcW w:w="2127" w:type="dxa"/>
            <w:tcMar>
              <w:left w:w="105" w:type="dxa"/>
              <w:right w:w="105" w:type="dxa"/>
            </w:tcMar>
            <w:vAlign w:val="center"/>
          </w:tcPr>
          <w:p w14:paraId="3DD3DC80" w14:textId="77777777" w:rsidR="00E0319A" w:rsidRPr="00947643" w:rsidRDefault="00E0319A" w:rsidP="00E0158D">
            <w:pPr>
              <w:spacing w:line="276" w:lineRule="auto"/>
              <w:jc w:val="center"/>
              <w:rPr>
                <w:rFonts w:eastAsia="Calibri Light" w:cstheme="minorHAnsi"/>
                <w:color w:val="212121"/>
                <w:sz w:val="20"/>
                <w:szCs w:val="20"/>
                <w:lang w:val="en-US"/>
              </w:rPr>
            </w:pPr>
            <w:r w:rsidRPr="00947643">
              <w:rPr>
                <w:rFonts w:eastAsia="Calibri Light" w:cstheme="minorHAnsi"/>
                <w:color w:val="212121"/>
                <w:sz w:val="20"/>
                <w:szCs w:val="20"/>
                <w:lang w:val="en-US"/>
              </w:rPr>
              <w:t xml:space="preserve">Humanized </w:t>
            </w:r>
            <w:r>
              <w:rPr>
                <w:rFonts w:eastAsia="Calibri Light" w:cstheme="minorHAnsi"/>
                <w:color w:val="212121"/>
                <w:sz w:val="20"/>
                <w:szCs w:val="20"/>
                <w:lang w:val="en-US"/>
              </w:rPr>
              <w:t>m</w:t>
            </w:r>
            <w:r w:rsidRPr="00947643">
              <w:rPr>
                <w:rFonts w:eastAsia="Calibri Light" w:cstheme="minorHAnsi"/>
                <w:color w:val="212121"/>
                <w:sz w:val="20"/>
                <w:szCs w:val="20"/>
                <w:lang w:val="en-US"/>
              </w:rPr>
              <w:t xml:space="preserve">onoclonal </w:t>
            </w:r>
            <w:r>
              <w:rPr>
                <w:rFonts w:eastAsia="Calibri Light" w:cstheme="minorHAnsi"/>
                <w:color w:val="212121"/>
                <w:sz w:val="20"/>
                <w:szCs w:val="20"/>
                <w:lang w:val="en-US"/>
              </w:rPr>
              <w:t>anti-C5 a</w:t>
            </w:r>
            <w:r w:rsidRPr="00947643">
              <w:rPr>
                <w:rFonts w:eastAsia="Calibri Light" w:cstheme="minorHAnsi"/>
                <w:color w:val="212121"/>
                <w:sz w:val="20"/>
                <w:szCs w:val="20"/>
                <w:lang w:val="en-US"/>
              </w:rPr>
              <w:t>ntibody</w:t>
            </w:r>
          </w:p>
        </w:tc>
        <w:tc>
          <w:tcPr>
            <w:tcW w:w="5810" w:type="dxa"/>
            <w:tcMar>
              <w:left w:w="105" w:type="dxa"/>
              <w:right w:w="105" w:type="dxa"/>
            </w:tcMar>
            <w:vAlign w:val="center"/>
          </w:tcPr>
          <w:p w14:paraId="03BEF671" w14:textId="0B1CC9C1" w:rsidR="00E0319A" w:rsidRPr="00947643" w:rsidRDefault="00E0319A" w:rsidP="00E0158D">
            <w:pPr>
              <w:spacing w:line="276" w:lineRule="auto"/>
              <w:jc w:val="both"/>
              <w:rPr>
                <w:rFonts w:eastAsia="Calibri Light" w:cstheme="minorHAnsi"/>
                <w:color w:val="212121"/>
                <w:sz w:val="20"/>
                <w:szCs w:val="20"/>
                <w:lang w:val="en-US"/>
              </w:rPr>
            </w:pPr>
            <w:r w:rsidRPr="00947643">
              <w:rPr>
                <w:rFonts w:eastAsia="Calibri Light" w:cstheme="minorHAnsi"/>
                <w:b/>
                <w:bCs/>
                <w:color w:val="212121"/>
                <w:sz w:val="20"/>
                <w:szCs w:val="20"/>
                <w:lang w:val="en-US"/>
              </w:rPr>
              <w:t>1988</w:t>
            </w:r>
            <w:r w:rsidRPr="00947643">
              <w:rPr>
                <w:rFonts w:eastAsia="Calibri Light" w:cstheme="minorHAnsi"/>
                <w:color w:val="212121"/>
                <w:sz w:val="20"/>
                <w:szCs w:val="20"/>
                <w:lang w:val="en-US"/>
              </w:rPr>
              <w:t>: C5 is identified as a target for EAMG treatment in murine models.</w:t>
            </w:r>
            <w:r w:rsidR="00615B56">
              <w:rPr>
                <w:rFonts w:eastAsia="Calibri Light" w:cstheme="minorHAnsi"/>
                <w:color w:val="212121"/>
                <w:sz w:val="20"/>
                <w:szCs w:val="20"/>
                <w:lang w:val="en-US"/>
              </w:rPr>
              <w:t xml:space="preserve"> [38]</w:t>
            </w:r>
          </w:p>
          <w:p w14:paraId="5000FBA8" w14:textId="4DBB2EDE" w:rsidR="00E0319A" w:rsidRPr="00947643" w:rsidRDefault="00E0319A" w:rsidP="00E0158D">
            <w:pPr>
              <w:spacing w:line="276" w:lineRule="auto"/>
              <w:jc w:val="both"/>
              <w:rPr>
                <w:rFonts w:eastAsia="Calibri Light" w:cstheme="minorHAnsi"/>
                <w:color w:val="212121"/>
                <w:sz w:val="20"/>
                <w:szCs w:val="20"/>
                <w:lang w:val="en-US"/>
              </w:rPr>
            </w:pPr>
            <w:r w:rsidRPr="00947643">
              <w:rPr>
                <w:rFonts w:eastAsia="Calibri Light" w:cstheme="minorHAnsi"/>
                <w:b/>
                <w:bCs/>
                <w:color w:val="212121"/>
                <w:sz w:val="20"/>
                <w:szCs w:val="20"/>
                <w:lang w:val="en-US"/>
              </w:rPr>
              <w:t>1996</w:t>
            </w:r>
            <w:r w:rsidRPr="00947643">
              <w:rPr>
                <w:rFonts w:eastAsia="Calibri Light" w:cstheme="minorHAnsi"/>
                <w:color w:val="212121"/>
                <w:sz w:val="20"/>
                <w:szCs w:val="20"/>
                <w:lang w:val="en-US"/>
              </w:rPr>
              <w:t xml:space="preserve">: The humanized antibody h5G1.1 (eculizumab) demonstrates potent inhibitory effects against human C5 in </w:t>
            </w:r>
            <w:r w:rsidRPr="00615B56">
              <w:rPr>
                <w:rFonts w:eastAsia="Calibri Light" w:cstheme="minorHAnsi"/>
                <w:i/>
                <w:iCs/>
                <w:color w:val="212121"/>
                <w:sz w:val="20"/>
                <w:szCs w:val="20"/>
                <w:lang w:val="en-US"/>
              </w:rPr>
              <w:t>in vitro</w:t>
            </w:r>
            <w:r w:rsidRPr="00947643">
              <w:rPr>
                <w:rFonts w:eastAsia="Calibri Light" w:cstheme="minorHAnsi"/>
                <w:color w:val="212121"/>
                <w:sz w:val="20"/>
                <w:szCs w:val="20"/>
                <w:lang w:val="en-US"/>
              </w:rPr>
              <w:t xml:space="preserve"> studies.</w:t>
            </w:r>
            <w:r w:rsidR="00615B56">
              <w:rPr>
                <w:rFonts w:eastAsia="Calibri Light" w:cstheme="minorHAnsi"/>
                <w:color w:val="212121"/>
                <w:sz w:val="20"/>
                <w:szCs w:val="20"/>
                <w:lang w:val="en-US"/>
              </w:rPr>
              <w:t xml:space="preserve"> [43]</w:t>
            </w:r>
          </w:p>
          <w:p w14:paraId="50C3351F" w14:textId="4E2A0F70" w:rsidR="00E0319A" w:rsidRPr="00947643" w:rsidRDefault="00E0319A" w:rsidP="00E0158D">
            <w:pPr>
              <w:spacing w:line="276" w:lineRule="auto"/>
              <w:jc w:val="both"/>
              <w:rPr>
                <w:rFonts w:eastAsia="Calibri Light" w:cstheme="minorHAnsi"/>
                <w:color w:val="212121"/>
                <w:sz w:val="20"/>
                <w:szCs w:val="20"/>
                <w:lang w:val="en-US"/>
              </w:rPr>
            </w:pPr>
            <w:r w:rsidRPr="00947643">
              <w:rPr>
                <w:rFonts w:eastAsia="Calibri Light" w:cstheme="minorHAnsi"/>
                <w:b/>
                <w:bCs/>
                <w:color w:val="212121"/>
                <w:sz w:val="20"/>
                <w:szCs w:val="20"/>
                <w:lang w:val="en-US"/>
              </w:rPr>
              <w:t>2007-2009</w:t>
            </w:r>
            <w:r w:rsidRPr="00947643">
              <w:rPr>
                <w:rFonts w:eastAsia="Calibri Light" w:cstheme="minorHAnsi"/>
                <w:color w:val="212121"/>
                <w:sz w:val="20"/>
                <w:szCs w:val="20"/>
                <w:lang w:val="en-US"/>
              </w:rPr>
              <w:t>: Anti-C5 antibodies attenuate the progression of EAMG in rats.</w:t>
            </w:r>
            <w:r w:rsidR="00615B56">
              <w:rPr>
                <w:rFonts w:eastAsia="Calibri Light" w:cstheme="minorHAnsi"/>
                <w:color w:val="212121"/>
                <w:sz w:val="20"/>
                <w:szCs w:val="20"/>
                <w:lang w:val="en-US"/>
              </w:rPr>
              <w:t xml:space="preserve"> [45,46]</w:t>
            </w:r>
          </w:p>
        </w:tc>
      </w:tr>
      <w:tr w:rsidR="00E0319A" w:rsidRPr="00E0319A" w14:paraId="547E6547" w14:textId="77777777" w:rsidTr="00E0319A">
        <w:trPr>
          <w:trHeight w:val="300"/>
        </w:trPr>
        <w:tc>
          <w:tcPr>
            <w:tcW w:w="1693" w:type="dxa"/>
            <w:tcMar>
              <w:left w:w="105" w:type="dxa"/>
              <w:right w:w="105" w:type="dxa"/>
            </w:tcMar>
            <w:vAlign w:val="center"/>
          </w:tcPr>
          <w:p w14:paraId="1B80590F" w14:textId="77777777" w:rsidR="00E0319A" w:rsidRPr="00A91561" w:rsidRDefault="00E0319A" w:rsidP="00E0158D">
            <w:pPr>
              <w:spacing w:line="276" w:lineRule="auto"/>
              <w:jc w:val="center"/>
              <w:rPr>
                <w:rFonts w:eastAsia="Calibri Light" w:cstheme="minorHAnsi"/>
                <w:color w:val="212121"/>
                <w:sz w:val="20"/>
                <w:szCs w:val="20"/>
              </w:rPr>
            </w:pPr>
            <w:proofErr w:type="spellStart"/>
            <w:r>
              <w:rPr>
                <w:rFonts w:eastAsia="Calibri Light" w:cstheme="minorHAnsi"/>
                <w:color w:val="212121"/>
                <w:sz w:val="20"/>
                <w:szCs w:val="20"/>
              </w:rPr>
              <w:t>R</w:t>
            </w:r>
            <w:r w:rsidRPr="00A91561">
              <w:rPr>
                <w:rFonts w:eastAsia="Calibri Light" w:cstheme="minorHAnsi"/>
                <w:color w:val="212121"/>
                <w:sz w:val="20"/>
                <w:szCs w:val="20"/>
              </w:rPr>
              <w:t>avulizumab</w:t>
            </w:r>
            <w:proofErr w:type="spellEnd"/>
          </w:p>
        </w:tc>
        <w:tc>
          <w:tcPr>
            <w:tcW w:w="2127" w:type="dxa"/>
            <w:tcMar>
              <w:left w:w="105" w:type="dxa"/>
              <w:right w:w="105" w:type="dxa"/>
            </w:tcMar>
            <w:vAlign w:val="center"/>
          </w:tcPr>
          <w:p w14:paraId="25E55F01" w14:textId="77777777" w:rsidR="00E0319A" w:rsidRPr="00947643" w:rsidRDefault="00E0319A" w:rsidP="00E0158D">
            <w:pPr>
              <w:spacing w:line="276" w:lineRule="auto"/>
              <w:jc w:val="center"/>
              <w:rPr>
                <w:rFonts w:eastAsia="Calibri Light" w:cstheme="minorHAnsi"/>
                <w:color w:val="212121"/>
                <w:sz w:val="20"/>
                <w:szCs w:val="20"/>
                <w:lang w:val="en-US"/>
              </w:rPr>
            </w:pPr>
            <w:r w:rsidRPr="00947643">
              <w:rPr>
                <w:rFonts w:eastAsia="Calibri Light" w:cstheme="minorHAnsi"/>
                <w:color w:val="212121"/>
                <w:sz w:val="20"/>
                <w:szCs w:val="20"/>
                <w:lang w:val="en-US"/>
              </w:rPr>
              <w:t xml:space="preserve">Humanized </w:t>
            </w:r>
            <w:r>
              <w:rPr>
                <w:rFonts w:eastAsia="Calibri Light" w:cstheme="minorHAnsi"/>
                <w:color w:val="212121"/>
                <w:sz w:val="20"/>
                <w:szCs w:val="20"/>
                <w:lang w:val="en-US"/>
              </w:rPr>
              <w:t>m</w:t>
            </w:r>
            <w:r w:rsidRPr="00947643">
              <w:rPr>
                <w:rFonts w:eastAsia="Calibri Light" w:cstheme="minorHAnsi"/>
                <w:color w:val="212121"/>
                <w:sz w:val="20"/>
                <w:szCs w:val="20"/>
                <w:lang w:val="en-US"/>
              </w:rPr>
              <w:t xml:space="preserve">onoclonal </w:t>
            </w:r>
            <w:r>
              <w:rPr>
                <w:rFonts w:eastAsia="Calibri Light" w:cstheme="minorHAnsi"/>
                <w:color w:val="212121"/>
                <w:sz w:val="20"/>
                <w:szCs w:val="20"/>
                <w:lang w:val="en-US"/>
              </w:rPr>
              <w:t>anti-C5 a</w:t>
            </w:r>
            <w:r w:rsidRPr="00947643">
              <w:rPr>
                <w:rFonts w:eastAsia="Calibri Light" w:cstheme="minorHAnsi"/>
                <w:color w:val="212121"/>
                <w:sz w:val="20"/>
                <w:szCs w:val="20"/>
                <w:lang w:val="en-US"/>
              </w:rPr>
              <w:t>ntibody</w:t>
            </w:r>
          </w:p>
        </w:tc>
        <w:tc>
          <w:tcPr>
            <w:tcW w:w="5810" w:type="dxa"/>
            <w:tcMar>
              <w:left w:w="105" w:type="dxa"/>
              <w:right w:w="105" w:type="dxa"/>
            </w:tcMar>
            <w:vAlign w:val="center"/>
          </w:tcPr>
          <w:p w14:paraId="6B7A78EF" w14:textId="01E9360B" w:rsidR="00E0319A" w:rsidRPr="00947643" w:rsidRDefault="00E0319A" w:rsidP="00E0158D">
            <w:pPr>
              <w:spacing w:line="276" w:lineRule="auto"/>
              <w:jc w:val="both"/>
              <w:rPr>
                <w:rFonts w:eastAsia="Calibri Light" w:cstheme="minorHAnsi"/>
                <w:color w:val="212121"/>
                <w:sz w:val="20"/>
                <w:szCs w:val="20"/>
                <w:lang w:val="en-US"/>
              </w:rPr>
            </w:pPr>
            <w:r w:rsidRPr="00947643">
              <w:rPr>
                <w:rFonts w:eastAsia="Calibri Light" w:cstheme="minorHAnsi"/>
                <w:b/>
                <w:bCs/>
                <w:color w:val="212121"/>
                <w:sz w:val="20"/>
                <w:szCs w:val="20"/>
                <w:lang w:val="en-US"/>
              </w:rPr>
              <w:t>2018</w:t>
            </w:r>
            <w:r w:rsidRPr="00947643">
              <w:rPr>
                <w:rFonts w:eastAsia="Calibri Light" w:cstheme="minorHAnsi"/>
                <w:color w:val="212121"/>
                <w:sz w:val="20"/>
                <w:szCs w:val="20"/>
                <w:lang w:val="en-US"/>
              </w:rPr>
              <w:t xml:space="preserve">: Through engineering of the eculizumab sequence, it is demonstrated that </w:t>
            </w:r>
            <w:proofErr w:type="spellStart"/>
            <w:r w:rsidRPr="00947643">
              <w:rPr>
                <w:rFonts w:eastAsia="Calibri Light" w:cstheme="minorHAnsi"/>
                <w:color w:val="212121"/>
                <w:sz w:val="20"/>
                <w:szCs w:val="20"/>
                <w:lang w:val="en-US"/>
              </w:rPr>
              <w:t>ravulizumab</w:t>
            </w:r>
            <w:proofErr w:type="spellEnd"/>
            <w:r w:rsidRPr="00947643">
              <w:rPr>
                <w:rFonts w:eastAsia="Calibri Light" w:cstheme="minorHAnsi"/>
                <w:color w:val="212121"/>
                <w:sz w:val="20"/>
                <w:szCs w:val="20"/>
                <w:lang w:val="en-US"/>
              </w:rPr>
              <w:t xml:space="preserve"> has an approximately 4-fold longer half-life compared to the parental antibody in murine models.</w:t>
            </w:r>
            <w:r w:rsidR="00615B56">
              <w:rPr>
                <w:rFonts w:eastAsia="Calibri Light" w:cstheme="minorHAnsi"/>
                <w:color w:val="212121"/>
                <w:sz w:val="20"/>
                <w:szCs w:val="20"/>
                <w:lang w:val="en-US"/>
              </w:rPr>
              <w:t xml:space="preserve"> [55]</w:t>
            </w:r>
          </w:p>
        </w:tc>
      </w:tr>
      <w:tr w:rsidR="00E0319A" w:rsidRPr="00E0319A" w14:paraId="30D28805" w14:textId="77777777" w:rsidTr="00E0319A">
        <w:trPr>
          <w:trHeight w:val="300"/>
        </w:trPr>
        <w:tc>
          <w:tcPr>
            <w:tcW w:w="1693" w:type="dxa"/>
            <w:tcMar>
              <w:left w:w="105" w:type="dxa"/>
              <w:right w:w="105" w:type="dxa"/>
            </w:tcMar>
            <w:vAlign w:val="center"/>
          </w:tcPr>
          <w:p w14:paraId="100049C2" w14:textId="77777777" w:rsidR="00E0319A" w:rsidRPr="00A91561" w:rsidRDefault="00E0319A" w:rsidP="00E0158D">
            <w:pPr>
              <w:spacing w:line="276" w:lineRule="auto"/>
              <w:jc w:val="center"/>
              <w:rPr>
                <w:rFonts w:eastAsia="Calibri Light" w:cstheme="minorHAnsi"/>
                <w:color w:val="212121"/>
                <w:sz w:val="20"/>
                <w:szCs w:val="20"/>
              </w:rPr>
            </w:pPr>
            <w:proofErr w:type="spellStart"/>
            <w:r>
              <w:rPr>
                <w:rFonts w:eastAsia="Calibri Light" w:cstheme="minorHAnsi"/>
                <w:color w:val="212121"/>
                <w:sz w:val="20"/>
                <w:szCs w:val="20"/>
              </w:rPr>
              <w:t>E</w:t>
            </w:r>
            <w:r w:rsidRPr="00A91561">
              <w:rPr>
                <w:rFonts w:eastAsia="Calibri Light" w:cstheme="minorHAnsi"/>
                <w:color w:val="212121"/>
                <w:sz w:val="20"/>
                <w:szCs w:val="20"/>
              </w:rPr>
              <w:t>fgartigimod</w:t>
            </w:r>
            <w:proofErr w:type="spellEnd"/>
          </w:p>
        </w:tc>
        <w:tc>
          <w:tcPr>
            <w:tcW w:w="2127" w:type="dxa"/>
            <w:tcMar>
              <w:left w:w="105" w:type="dxa"/>
              <w:right w:w="105" w:type="dxa"/>
            </w:tcMar>
            <w:vAlign w:val="center"/>
          </w:tcPr>
          <w:p w14:paraId="761A5FB4" w14:textId="77777777" w:rsidR="00E0319A" w:rsidRPr="00947643" w:rsidRDefault="00E0319A" w:rsidP="00E0158D">
            <w:pPr>
              <w:spacing w:line="276" w:lineRule="auto"/>
              <w:jc w:val="center"/>
              <w:rPr>
                <w:rFonts w:eastAsia="Calibri Light" w:cstheme="minorHAnsi"/>
                <w:color w:val="212121"/>
                <w:sz w:val="20"/>
                <w:szCs w:val="20"/>
                <w:lang w:val="en-US"/>
              </w:rPr>
            </w:pPr>
            <w:r w:rsidRPr="00947643">
              <w:rPr>
                <w:rFonts w:eastAsia="Calibri Light" w:cstheme="minorHAnsi"/>
                <w:color w:val="212121"/>
                <w:sz w:val="20"/>
                <w:szCs w:val="20"/>
                <w:lang w:val="en-US"/>
              </w:rPr>
              <w:t xml:space="preserve">IgG </w:t>
            </w:r>
            <w:r>
              <w:rPr>
                <w:rFonts w:eastAsia="Calibri Light" w:cstheme="minorHAnsi"/>
                <w:color w:val="212121"/>
                <w:sz w:val="20"/>
                <w:szCs w:val="20"/>
                <w:lang w:val="en-US"/>
              </w:rPr>
              <w:t>f</w:t>
            </w:r>
            <w:r w:rsidRPr="00947643">
              <w:rPr>
                <w:rFonts w:eastAsia="Calibri Light" w:cstheme="minorHAnsi"/>
                <w:color w:val="212121"/>
                <w:sz w:val="20"/>
                <w:szCs w:val="20"/>
                <w:lang w:val="en-US"/>
              </w:rPr>
              <w:t xml:space="preserve">ragment of </w:t>
            </w:r>
            <w:r>
              <w:rPr>
                <w:rFonts w:eastAsia="Calibri Light" w:cstheme="minorHAnsi"/>
                <w:color w:val="212121"/>
                <w:sz w:val="20"/>
                <w:szCs w:val="20"/>
                <w:lang w:val="en-US"/>
              </w:rPr>
              <w:t>a</w:t>
            </w:r>
            <w:r w:rsidRPr="00947643">
              <w:rPr>
                <w:rFonts w:eastAsia="Calibri Light" w:cstheme="minorHAnsi"/>
                <w:color w:val="212121"/>
                <w:sz w:val="20"/>
                <w:szCs w:val="20"/>
                <w:lang w:val="en-US"/>
              </w:rPr>
              <w:t xml:space="preserve">nti-FcRn </w:t>
            </w:r>
            <w:r>
              <w:rPr>
                <w:rFonts w:eastAsia="Calibri Light" w:cstheme="minorHAnsi"/>
                <w:color w:val="212121"/>
                <w:sz w:val="20"/>
                <w:szCs w:val="20"/>
                <w:lang w:val="en-US"/>
              </w:rPr>
              <w:t>m</w:t>
            </w:r>
            <w:r w:rsidRPr="00947643">
              <w:rPr>
                <w:rFonts w:eastAsia="Calibri Light" w:cstheme="minorHAnsi"/>
                <w:color w:val="212121"/>
                <w:sz w:val="20"/>
                <w:szCs w:val="20"/>
                <w:lang w:val="en-US"/>
              </w:rPr>
              <w:t xml:space="preserve">onoclonal </w:t>
            </w:r>
            <w:r>
              <w:rPr>
                <w:rFonts w:eastAsia="Calibri Light" w:cstheme="minorHAnsi"/>
                <w:color w:val="212121"/>
                <w:sz w:val="20"/>
                <w:szCs w:val="20"/>
                <w:lang w:val="en-US"/>
              </w:rPr>
              <w:t>a</w:t>
            </w:r>
            <w:r w:rsidRPr="00947643">
              <w:rPr>
                <w:rFonts w:eastAsia="Calibri Light" w:cstheme="minorHAnsi"/>
                <w:color w:val="212121"/>
                <w:sz w:val="20"/>
                <w:szCs w:val="20"/>
                <w:lang w:val="en-US"/>
              </w:rPr>
              <w:t>ntibody</w:t>
            </w:r>
          </w:p>
        </w:tc>
        <w:tc>
          <w:tcPr>
            <w:tcW w:w="5810" w:type="dxa"/>
            <w:tcMar>
              <w:left w:w="105" w:type="dxa"/>
              <w:right w:w="105" w:type="dxa"/>
            </w:tcMar>
            <w:vAlign w:val="center"/>
          </w:tcPr>
          <w:p w14:paraId="6CD6807D" w14:textId="078D7347" w:rsidR="00E0319A" w:rsidRPr="0000726E" w:rsidRDefault="00E0319A" w:rsidP="00E0158D">
            <w:pPr>
              <w:spacing w:line="276" w:lineRule="auto"/>
              <w:jc w:val="both"/>
              <w:rPr>
                <w:rFonts w:eastAsia="Calibri Light" w:cstheme="minorHAnsi"/>
                <w:color w:val="212121"/>
                <w:sz w:val="20"/>
                <w:szCs w:val="20"/>
                <w:lang w:val="en-US"/>
              </w:rPr>
            </w:pPr>
            <w:r w:rsidRPr="0000726E">
              <w:rPr>
                <w:rFonts w:eastAsia="Calibri Light" w:cstheme="minorHAnsi"/>
                <w:b/>
                <w:bCs/>
                <w:color w:val="212121"/>
                <w:sz w:val="20"/>
                <w:szCs w:val="20"/>
                <w:lang w:val="en-US"/>
              </w:rPr>
              <w:t>2007</w:t>
            </w:r>
            <w:r w:rsidRPr="0000726E">
              <w:rPr>
                <w:rFonts w:eastAsia="Calibri Light" w:cstheme="minorHAnsi"/>
                <w:color w:val="212121"/>
                <w:sz w:val="20"/>
                <w:szCs w:val="20"/>
                <w:lang w:val="en-US"/>
              </w:rPr>
              <w:t xml:space="preserve">: Administration of an anti-FcRn antibody in two experimental EAMG models significantly reduces symptomatology and </w:t>
            </w:r>
            <w:proofErr w:type="spellStart"/>
            <w:r w:rsidRPr="0000726E">
              <w:rPr>
                <w:rFonts w:eastAsia="Calibri Light" w:cstheme="minorHAnsi"/>
                <w:color w:val="212121"/>
                <w:sz w:val="20"/>
                <w:szCs w:val="20"/>
                <w:lang w:val="en-US"/>
              </w:rPr>
              <w:t>AChR</w:t>
            </w:r>
            <w:proofErr w:type="spellEnd"/>
            <w:r w:rsidRPr="0000726E">
              <w:rPr>
                <w:rFonts w:eastAsia="Calibri Light" w:cstheme="minorHAnsi"/>
                <w:color w:val="212121"/>
                <w:sz w:val="20"/>
                <w:szCs w:val="20"/>
                <w:lang w:val="en-US"/>
              </w:rPr>
              <w:t xml:space="preserve"> IgG</w:t>
            </w:r>
            <w:r>
              <w:rPr>
                <w:rFonts w:eastAsia="Calibri Light" w:cstheme="minorHAnsi"/>
                <w:color w:val="212121"/>
                <w:sz w:val="20"/>
                <w:szCs w:val="20"/>
                <w:lang w:val="en-US"/>
              </w:rPr>
              <w:t xml:space="preserve"> antibodies</w:t>
            </w:r>
            <w:r w:rsidRPr="0000726E">
              <w:rPr>
                <w:rFonts w:eastAsia="Calibri Light" w:cstheme="minorHAnsi"/>
                <w:color w:val="212121"/>
                <w:sz w:val="20"/>
                <w:szCs w:val="20"/>
                <w:lang w:val="en-US"/>
              </w:rPr>
              <w:t xml:space="preserve"> levels.</w:t>
            </w:r>
            <w:r w:rsidR="00615B56">
              <w:rPr>
                <w:rFonts w:eastAsia="Calibri Light" w:cstheme="minorHAnsi"/>
                <w:color w:val="212121"/>
                <w:sz w:val="20"/>
                <w:szCs w:val="20"/>
                <w:lang w:val="en-US"/>
              </w:rPr>
              <w:t xml:space="preserve"> [61]</w:t>
            </w:r>
          </w:p>
          <w:p w14:paraId="7C0C1E3D" w14:textId="6AEA505F" w:rsidR="00E0319A" w:rsidRPr="0000726E" w:rsidRDefault="00E0319A" w:rsidP="00E0158D">
            <w:pPr>
              <w:spacing w:line="276" w:lineRule="auto"/>
              <w:jc w:val="both"/>
              <w:rPr>
                <w:rFonts w:eastAsia="Calibri Light" w:cstheme="minorHAnsi"/>
                <w:color w:val="212121"/>
                <w:sz w:val="20"/>
                <w:szCs w:val="20"/>
                <w:lang w:val="en-US"/>
              </w:rPr>
            </w:pPr>
            <w:r w:rsidRPr="0000726E">
              <w:rPr>
                <w:rFonts w:eastAsia="Calibri Light" w:cstheme="minorHAnsi"/>
                <w:b/>
                <w:bCs/>
                <w:color w:val="212121"/>
                <w:sz w:val="20"/>
                <w:szCs w:val="20"/>
                <w:lang w:val="en-US"/>
              </w:rPr>
              <w:t>2015-2018</w:t>
            </w:r>
            <w:r w:rsidRPr="0000726E">
              <w:rPr>
                <w:rFonts w:eastAsia="Calibri Light" w:cstheme="minorHAnsi"/>
                <w:color w:val="212121"/>
                <w:sz w:val="20"/>
                <w:szCs w:val="20"/>
                <w:lang w:val="en-US"/>
              </w:rPr>
              <w:t>: Humanized anti-FcRn antibodies effectively reduce circulating IgG in primate and mouse models.</w:t>
            </w:r>
            <w:r w:rsidR="00615B56">
              <w:rPr>
                <w:rFonts w:eastAsia="Calibri Light" w:cstheme="minorHAnsi"/>
                <w:color w:val="212121"/>
                <w:sz w:val="20"/>
                <w:szCs w:val="20"/>
                <w:lang w:val="en-US"/>
              </w:rPr>
              <w:t xml:space="preserve"> [63,65]</w:t>
            </w:r>
          </w:p>
          <w:p w14:paraId="77F0FA79" w14:textId="055EC6DB" w:rsidR="00E0319A" w:rsidRPr="0000726E" w:rsidRDefault="00E0319A" w:rsidP="00E0158D">
            <w:pPr>
              <w:spacing w:line="276" w:lineRule="auto"/>
              <w:jc w:val="both"/>
              <w:rPr>
                <w:rFonts w:eastAsia="Calibri Light" w:cstheme="minorHAnsi"/>
                <w:color w:val="212121"/>
                <w:sz w:val="20"/>
                <w:szCs w:val="20"/>
                <w:lang w:val="en-US"/>
              </w:rPr>
            </w:pPr>
            <w:r w:rsidRPr="0000726E">
              <w:rPr>
                <w:rFonts w:eastAsia="Calibri Light" w:cstheme="minorHAnsi"/>
                <w:b/>
                <w:bCs/>
                <w:color w:val="212121"/>
                <w:sz w:val="20"/>
                <w:szCs w:val="20"/>
                <w:lang w:val="en-US"/>
              </w:rPr>
              <w:t>2018</w:t>
            </w:r>
            <w:r w:rsidRPr="0000726E">
              <w:rPr>
                <w:rFonts w:eastAsia="Calibri Light" w:cstheme="minorHAnsi"/>
                <w:color w:val="212121"/>
                <w:sz w:val="20"/>
                <w:szCs w:val="20"/>
                <w:lang w:val="en-US"/>
              </w:rPr>
              <w:t>: Development of efgartigimod in vitro and studies on pharmacokinetics, pharmacodynamics, and toxicity in primates.</w:t>
            </w:r>
            <w:r w:rsidR="00615B56">
              <w:rPr>
                <w:rFonts w:eastAsia="Calibri Light" w:cstheme="minorHAnsi"/>
                <w:color w:val="212121"/>
                <w:sz w:val="20"/>
                <w:szCs w:val="20"/>
                <w:lang w:val="en-US"/>
              </w:rPr>
              <w:t xml:space="preserve"> [64]</w:t>
            </w:r>
          </w:p>
          <w:p w14:paraId="72C5FEF2" w14:textId="15EDCC2D" w:rsidR="00E0319A" w:rsidRPr="0000726E" w:rsidRDefault="00E0319A" w:rsidP="00E0158D">
            <w:pPr>
              <w:spacing w:line="276" w:lineRule="auto"/>
              <w:jc w:val="both"/>
              <w:rPr>
                <w:rFonts w:eastAsia="Calibri Light" w:cstheme="minorHAnsi"/>
                <w:color w:val="212121"/>
                <w:sz w:val="20"/>
                <w:szCs w:val="20"/>
                <w:lang w:val="en-US"/>
              </w:rPr>
            </w:pPr>
            <w:r w:rsidRPr="0000726E">
              <w:rPr>
                <w:rFonts w:eastAsia="Calibri Light" w:cstheme="minorHAnsi"/>
                <w:b/>
                <w:bCs/>
                <w:color w:val="212121"/>
                <w:sz w:val="20"/>
                <w:szCs w:val="20"/>
                <w:lang w:val="en-US"/>
              </w:rPr>
              <w:t>2019</w:t>
            </w:r>
            <w:r w:rsidRPr="0000726E">
              <w:rPr>
                <w:rFonts w:eastAsia="Calibri Light" w:cstheme="minorHAnsi"/>
                <w:color w:val="212121"/>
                <w:sz w:val="20"/>
                <w:szCs w:val="20"/>
                <w:lang w:val="en-US"/>
              </w:rPr>
              <w:t xml:space="preserve">: Administration of efgartigimod in a murine EAMG model significantly reduces </w:t>
            </w:r>
            <w:proofErr w:type="spellStart"/>
            <w:r w:rsidRPr="0000726E">
              <w:rPr>
                <w:rFonts w:eastAsia="Calibri Light" w:cstheme="minorHAnsi"/>
                <w:color w:val="212121"/>
                <w:sz w:val="20"/>
                <w:szCs w:val="20"/>
                <w:lang w:val="en-US"/>
              </w:rPr>
              <w:t>MuSK</w:t>
            </w:r>
            <w:proofErr w:type="spellEnd"/>
            <w:r w:rsidRPr="0000726E">
              <w:rPr>
                <w:rFonts w:eastAsia="Calibri Light" w:cstheme="minorHAnsi"/>
                <w:color w:val="212121"/>
                <w:sz w:val="20"/>
                <w:szCs w:val="20"/>
                <w:lang w:val="en-US"/>
              </w:rPr>
              <w:t xml:space="preserve"> antibodies and disease symptoms, demonstrating </w:t>
            </w:r>
            <w:r w:rsidRPr="00D84244">
              <w:rPr>
                <w:rFonts w:eastAsia="Calibri Light" w:cstheme="minorHAnsi"/>
                <w:i/>
                <w:iCs/>
                <w:color w:val="212121"/>
                <w:sz w:val="20"/>
                <w:szCs w:val="20"/>
                <w:lang w:val="en-US"/>
              </w:rPr>
              <w:t>in vivo</w:t>
            </w:r>
            <w:r w:rsidRPr="0000726E">
              <w:rPr>
                <w:rFonts w:eastAsia="Calibri Light" w:cstheme="minorHAnsi"/>
                <w:color w:val="212121"/>
                <w:sz w:val="20"/>
                <w:szCs w:val="20"/>
                <w:lang w:val="en-US"/>
              </w:rPr>
              <w:t xml:space="preserve"> efficacy.</w:t>
            </w:r>
            <w:r w:rsidR="00615B56">
              <w:rPr>
                <w:rFonts w:eastAsia="Calibri Light" w:cstheme="minorHAnsi"/>
                <w:color w:val="212121"/>
                <w:sz w:val="20"/>
                <w:szCs w:val="20"/>
                <w:lang w:val="en-US"/>
              </w:rPr>
              <w:t xml:space="preserve"> [66]</w:t>
            </w:r>
          </w:p>
        </w:tc>
      </w:tr>
      <w:tr w:rsidR="00E0319A" w:rsidRPr="00E0319A" w14:paraId="7C5223C1" w14:textId="77777777" w:rsidTr="00E0319A">
        <w:trPr>
          <w:trHeight w:val="300"/>
        </w:trPr>
        <w:tc>
          <w:tcPr>
            <w:tcW w:w="1693" w:type="dxa"/>
            <w:tcMar>
              <w:left w:w="105" w:type="dxa"/>
              <w:right w:w="105" w:type="dxa"/>
            </w:tcMar>
            <w:vAlign w:val="center"/>
          </w:tcPr>
          <w:p w14:paraId="17B8F645" w14:textId="77777777" w:rsidR="00E0319A" w:rsidRDefault="00E0319A" w:rsidP="00E0158D">
            <w:pPr>
              <w:spacing w:line="276" w:lineRule="auto"/>
              <w:jc w:val="center"/>
              <w:rPr>
                <w:rFonts w:eastAsia="Calibri Light" w:cstheme="minorHAnsi"/>
                <w:color w:val="212121"/>
                <w:sz w:val="20"/>
                <w:szCs w:val="20"/>
              </w:rPr>
            </w:pPr>
            <w:proofErr w:type="spellStart"/>
            <w:r>
              <w:rPr>
                <w:rFonts w:eastAsia="Calibri Light" w:cstheme="minorHAnsi"/>
                <w:color w:val="212121"/>
                <w:sz w:val="20"/>
                <w:szCs w:val="20"/>
              </w:rPr>
              <w:t>Rozanolixizumab</w:t>
            </w:r>
            <w:proofErr w:type="spellEnd"/>
          </w:p>
        </w:tc>
        <w:tc>
          <w:tcPr>
            <w:tcW w:w="2127" w:type="dxa"/>
            <w:tcMar>
              <w:left w:w="105" w:type="dxa"/>
              <w:right w:w="105" w:type="dxa"/>
            </w:tcMar>
            <w:vAlign w:val="center"/>
          </w:tcPr>
          <w:p w14:paraId="2DCC6F5D" w14:textId="77777777" w:rsidR="00E0319A" w:rsidRPr="00947643" w:rsidRDefault="00E0319A" w:rsidP="00E0158D">
            <w:pPr>
              <w:spacing w:line="276" w:lineRule="auto"/>
              <w:jc w:val="center"/>
              <w:rPr>
                <w:rFonts w:eastAsia="Calibri Light" w:cstheme="minorHAnsi"/>
                <w:color w:val="212121"/>
                <w:sz w:val="20"/>
                <w:szCs w:val="20"/>
                <w:lang w:val="en-US"/>
              </w:rPr>
            </w:pPr>
            <w:r w:rsidRPr="00FE7D2F">
              <w:rPr>
                <w:rFonts w:eastAsia="Calibri Light" w:cstheme="minorHAnsi"/>
                <w:color w:val="212121"/>
                <w:sz w:val="20"/>
                <w:szCs w:val="20"/>
                <w:lang w:val="en-US"/>
              </w:rPr>
              <w:t>FcRn receptor antagonist</w:t>
            </w:r>
          </w:p>
        </w:tc>
        <w:tc>
          <w:tcPr>
            <w:tcW w:w="5810" w:type="dxa"/>
            <w:tcMar>
              <w:left w:w="105" w:type="dxa"/>
              <w:right w:w="105" w:type="dxa"/>
            </w:tcMar>
            <w:vAlign w:val="center"/>
          </w:tcPr>
          <w:p w14:paraId="16D90267" w14:textId="46D54AED" w:rsidR="00E0319A" w:rsidRPr="006001CE" w:rsidRDefault="00E0319A" w:rsidP="00E0158D">
            <w:pPr>
              <w:spacing w:line="276" w:lineRule="auto"/>
              <w:jc w:val="both"/>
              <w:rPr>
                <w:rFonts w:eastAsia="Calibri Light" w:cstheme="minorHAnsi"/>
                <w:color w:val="212121"/>
                <w:sz w:val="20"/>
                <w:szCs w:val="20"/>
                <w:lang w:val="en-US"/>
              </w:rPr>
            </w:pPr>
            <w:r w:rsidRPr="00740885">
              <w:rPr>
                <w:rFonts w:eastAsia="Calibri Light" w:cstheme="minorHAnsi"/>
                <w:b/>
                <w:bCs/>
                <w:color w:val="212121"/>
                <w:sz w:val="20"/>
                <w:szCs w:val="20"/>
                <w:lang w:val="en-US"/>
              </w:rPr>
              <w:t>2017-2018:</w:t>
            </w:r>
            <w:r w:rsidRPr="006001CE">
              <w:rPr>
                <w:rFonts w:eastAsia="Calibri Light" w:cstheme="minorHAnsi"/>
                <w:color w:val="212121"/>
                <w:sz w:val="20"/>
                <w:szCs w:val="20"/>
                <w:lang w:val="en-US"/>
              </w:rPr>
              <w:t xml:space="preserve"> Toxicolo</w:t>
            </w:r>
            <w:r w:rsidR="00615B56">
              <w:rPr>
                <w:rFonts w:eastAsia="Calibri Light" w:cstheme="minorHAnsi"/>
                <w:color w:val="212121"/>
                <w:sz w:val="20"/>
                <w:szCs w:val="20"/>
                <w:lang w:val="en-US"/>
              </w:rPr>
              <w:t>g</w:t>
            </w:r>
            <w:r w:rsidRPr="006001CE">
              <w:rPr>
                <w:rFonts w:eastAsia="Calibri Light" w:cstheme="minorHAnsi"/>
                <w:color w:val="212121"/>
                <w:sz w:val="20"/>
                <w:szCs w:val="20"/>
                <w:lang w:val="en-US"/>
              </w:rPr>
              <w:t xml:space="preserve">y, PK and PD studies on </w:t>
            </w:r>
            <w:proofErr w:type="spellStart"/>
            <w:r w:rsidRPr="006001CE">
              <w:rPr>
                <w:rFonts w:eastAsia="Calibri Light" w:cstheme="minorHAnsi"/>
                <w:color w:val="212121"/>
                <w:sz w:val="20"/>
                <w:szCs w:val="20"/>
                <w:lang w:val="en-US"/>
              </w:rPr>
              <w:t>rozanolixizumab</w:t>
            </w:r>
            <w:proofErr w:type="spellEnd"/>
            <w:r w:rsidRPr="006001CE">
              <w:rPr>
                <w:rFonts w:eastAsia="Calibri Light" w:cstheme="minorHAnsi"/>
                <w:color w:val="212121"/>
                <w:sz w:val="20"/>
                <w:szCs w:val="20"/>
                <w:lang w:val="en-US"/>
              </w:rPr>
              <w:t xml:space="preserve"> conducted in cynomolgus monkeys demonstrated a marked decrease in plasma IgG concentrations with no adverse effects</w:t>
            </w:r>
            <w:r w:rsidR="00EF460A">
              <w:rPr>
                <w:rFonts w:eastAsia="Calibri Light" w:cstheme="minorHAnsi"/>
                <w:color w:val="212121"/>
                <w:sz w:val="20"/>
                <w:szCs w:val="20"/>
                <w:lang w:val="en-US"/>
              </w:rPr>
              <w:t>. [63,97]</w:t>
            </w:r>
          </w:p>
          <w:p w14:paraId="1E3DE510" w14:textId="50A12BBE" w:rsidR="00E0319A" w:rsidRPr="006001CE" w:rsidRDefault="00E0319A" w:rsidP="00E0158D">
            <w:pPr>
              <w:spacing w:line="276" w:lineRule="auto"/>
              <w:jc w:val="both"/>
              <w:rPr>
                <w:rFonts w:eastAsia="Calibri Light" w:cstheme="minorHAnsi"/>
                <w:color w:val="212121"/>
                <w:sz w:val="20"/>
                <w:szCs w:val="20"/>
                <w:lang w:val="en-US"/>
              </w:rPr>
            </w:pPr>
            <w:r w:rsidRPr="006001CE">
              <w:rPr>
                <w:rFonts w:eastAsia="Calibri Light" w:cstheme="minorHAnsi"/>
                <w:b/>
                <w:bCs/>
                <w:color w:val="212121"/>
                <w:sz w:val="20"/>
                <w:szCs w:val="20"/>
                <w:lang w:val="en-US"/>
              </w:rPr>
              <w:t>2018:</w:t>
            </w:r>
            <w:r>
              <w:rPr>
                <w:rFonts w:eastAsia="Calibri Light" w:cstheme="minorHAnsi"/>
                <w:color w:val="212121"/>
                <w:sz w:val="20"/>
                <w:szCs w:val="20"/>
                <w:lang w:val="en-US"/>
              </w:rPr>
              <w:t xml:space="preserve"> </w:t>
            </w:r>
            <w:r w:rsidRPr="003F4956">
              <w:rPr>
                <w:rFonts w:eastAsia="Calibri Light" w:cstheme="minorHAnsi"/>
                <w:color w:val="212121"/>
                <w:sz w:val="20"/>
                <w:szCs w:val="20"/>
                <w:lang w:val="en-US"/>
              </w:rPr>
              <w:t xml:space="preserve">In human FcRn transgenic mice, </w:t>
            </w:r>
            <w:proofErr w:type="spellStart"/>
            <w:r w:rsidRPr="003F4956">
              <w:rPr>
                <w:rFonts w:eastAsia="Calibri Light" w:cstheme="minorHAnsi"/>
                <w:color w:val="212121"/>
                <w:sz w:val="20"/>
                <w:szCs w:val="20"/>
                <w:lang w:val="en-US"/>
              </w:rPr>
              <w:t>rozanolixizumab</w:t>
            </w:r>
            <w:proofErr w:type="spellEnd"/>
            <w:r w:rsidRPr="003F4956">
              <w:rPr>
                <w:rFonts w:eastAsia="Calibri Light" w:cstheme="minorHAnsi"/>
                <w:color w:val="212121"/>
                <w:sz w:val="20"/>
                <w:szCs w:val="20"/>
                <w:lang w:val="en-US"/>
              </w:rPr>
              <w:t xml:space="preserve"> induced a rapid decrease in plasma IgG without adverse events</w:t>
            </w:r>
            <w:r w:rsidR="00EF460A">
              <w:rPr>
                <w:rFonts w:eastAsia="Calibri Light" w:cstheme="minorHAnsi"/>
                <w:color w:val="212121"/>
                <w:sz w:val="20"/>
                <w:szCs w:val="20"/>
                <w:lang w:val="en-US"/>
              </w:rPr>
              <w:t>.</w:t>
            </w:r>
            <w:r w:rsidRPr="003F4956">
              <w:rPr>
                <w:rFonts w:eastAsia="Calibri Light" w:cstheme="minorHAnsi"/>
                <w:color w:val="212121"/>
                <w:sz w:val="20"/>
                <w:szCs w:val="20"/>
                <w:lang w:val="en-US"/>
              </w:rPr>
              <w:t xml:space="preserve"> </w:t>
            </w:r>
            <w:r w:rsidR="00EF460A">
              <w:rPr>
                <w:rFonts w:eastAsia="Calibri Light" w:cstheme="minorHAnsi"/>
                <w:color w:val="212121"/>
                <w:sz w:val="20"/>
                <w:szCs w:val="20"/>
                <w:lang w:val="en-US"/>
              </w:rPr>
              <w:t>[63]</w:t>
            </w:r>
          </w:p>
          <w:p w14:paraId="478960C4" w14:textId="75BD9F71" w:rsidR="00E0319A" w:rsidRPr="0000726E" w:rsidRDefault="00E0319A" w:rsidP="00E0158D">
            <w:pPr>
              <w:spacing w:line="276" w:lineRule="auto"/>
              <w:jc w:val="both"/>
              <w:rPr>
                <w:rFonts w:eastAsia="Calibri Light" w:cstheme="minorHAnsi"/>
                <w:b/>
                <w:bCs/>
                <w:color w:val="212121"/>
                <w:sz w:val="20"/>
                <w:szCs w:val="20"/>
                <w:lang w:val="en-US"/>
              </w:rPr>
            </w:pPr>
            <w:r w:rsidRPr="003F4956">
              <w:rPr>
                <w:rFonts w:eastAsia="Calibri Light" w:cstheme="minorHAnsi"/>
                <w:b/>
                <w:bCs/>
                <w:color w:val="212121"/>
                <w:sz w:val="20"/>
                <w:szCs w:val="20"/>
                <w:lang w:val="en-US"/>
              </w:rPr>
              <w:t>20</w:t>
            </w:r>
            <w:r>
              <w:rPr>
                <w:rFonts w:eastAsia="Calibri Light" w:cstheme="minorHAnsi"/>
                <w:b/>
                <w:bCs/>
                <w:color w:val="212121"/>
                <w:sz w:val="20"/>
                <w:szCs w:val="20"/>
                <w:lang w:val="en-US"/>
              </w:rPr>
              <w:t xml:space="preserve">22: </w:t>
            </w:r>
            <w:r w:rsidRPr="006001CE">
              <w:rPr>
                <w:rFonts w:eastAsia="Calibri Light" w:cstheme="minorHAnsi"/>
                <w:color w:val="212121"/>
                <w:sz w:val="20"/>
                <w:szCs w:val="20"/>
                <w:lang w:val="en-US"/>
              </w:rPr>
              <w:t xml:space="preserve">Development of a predictive, semi mechanistic translational PK/PD preclinical model of the IgG response to </w:t>
            </w:r>
            <w:proofErr w:type="spellStart"/>
            <w:r w:rsidRPr="006001CE">
              <w:rPr>
                <w:rFonts w:eastAsia="Calibri Light" w:cstheme="minorHAnsi"/>
                <w:color w:val="212121"/>
                <w:sz w:val="20"/>
                <w:szCs w:val="20"/>
                <w:lang w:val="en-US"/>
              </w:rPr>
              <w:t>rozanolixizumab</w:t>
            </w:r>
            <w:proofErr w:type="spellEnd"/>
            <w:r w:rsidRPr="006001CE">
              <w:rPr>
                <w:rFonts w:eastAsia="Calibri Light" w:cstheme="minorHAnsi"/>
                <w:color w:val="212121"/>
                <w:sz w:val="20"/>
                <w:szCs w:val="20"/>
                <w:lang w:val="en-US"/>
              </w:rPr>
              <w:t xml:space="preserve"> in humans</w:t>
            </w:r>
            <w:r w:rsidR="00EF460A">
              <w:rPr>
                <w:rFonts w:eastAsia="Calibri Light" w:cstheme="minorHAnsi"/>
                <w:color w:val="212121"/>
                <w:sz w:val="20"/>
                <w:szCs w:val="20"/>
                <w:lang w:val="en-US"/>
              </w:rPr>
              <w:t>. [70]</w:t>
            </w:r>
          </w:p>
        </w:tc>
      </w:tr>
      <w:tr w:rsidR="00E0319A" w:rsidRPr="00E0319A" w14:paraId="72ED51E6" w14:textId="77777777" w:rsidTr="00E0319A">
        <w:trPr>
          <w:trHeight w:val="300"/>
        </w:trPr>
        <w:tc>
          <w:tcPr>
            <w:tcW w:w="1693" w:type="dxa"/>
            <w:tcMar>
              <w:left w:w="105" w:type="dxa"/>
              <w:right w:w="105" w:type="dxa"/>
            </w:tcMar>
            <w:vAlign w:val="center"/>
          </w:tcPr>
          <w:p w14:paraId="76329A2C" w14:textId="77777777" w:rsidR="00E0319A" w:rsidRDefault="00E0319A" w:rsidP="00E0158D">
            <w:pPr>
              <w:spacing w:line="276" w:lineRule="auto"/>
              <w:jc w:val="center"/>
              <w:rPr>
                <w:rFonts w:eastAsia="Calibri Light" w:cstheme="minorHAnsi"/>
                <w:color w:val="212121"/>
                <w:sz w:val="20"/>
                <w:szCs w:val="20"/>
              </w:rPr>
            </w:pPr>
            <w:proofErr w:type="spellStart"/>
            <w:r>
              <w:rPr>
                <w:rFonts w:eastAsia="Calibri Light" w:cstheme="minorHAnsi"/>
                <w:color w:val="212121"/>
                <w:sz w:val="20"/>
                <w:szCs w:val="20"/>
              </w:rPr>
              <w:t>Zilucoplan</w:t>
            </w:r>
            <w:proofErr w:type="spellEnd"/>
          </w:p>
        </w:tc>
        <w:tc>
          <w:tcPr>
            <w:tcW w:w="2127" w:type="dxa"/>
            <w:tcMar>
              <w:left w:w="105" w:type="dxa"/>
              <w:right w:w="105" w:type="dxa"/>
            </w:tcMar>
            <w:vAlign w:val="center"/>
          </w:tcPr>
          <w:p w14:paraId="0E517BF4" w14:textId="77777777" w:rsidR="00E0319A" w:rsidRPr="00947643" w:rsidRDefault="00E0319A" w:rsidP="00E0158D">
            <w:pPr>
              <w:spacing w:line="276" w:lineRule="auto"/>
              <w:jc w:val="center"/>
              <w:rPr>
                <w:rFonts w:eastAsia="Calibri Light" w:cstheme="minorHAnsi"/>
                <w:color w:val="212121"/>
                <w:sz w:val="20"/>
                <w:szCs w:val="20"/>
                <w:lang w:val="en-US"/>
              </w:rPr>
            </w:pPr>
            <w:r w:rsidRPr="00FE7D2F">
              <w:rPr>
                <w:rFonts w:eastAsia="Calibri Light" w:cstheme="minorHAnsi"/>
                <w:color w:val="212121"/>
                <w:sz w:val="20"/>
                <w:szCs w:val="20"/>
                <w:lang w:val="en-US"/>
              </w:rPr>
              <w:t>Complement protein C5 inhibitor</w:t>
            </w:r>
          </w:p>
        </w:tc>
        <w:tc>
          <w:tcPr>
            <w:tcW w:w="5810" w:type="dxa"/>
            <w:tcMar>
              <w:left w:w="105" w:type="dxa"/>
              <w:right w:w="105" w:type="dxa"/>
            </w:tcMar>
            <w:vAlign w:val="center"/>
          </w:tcPr>
          <w:p w14:paraId="670CFDC1" w14:textId="49A28042" w:rsidR="00E0319A" w:rsidRDefault="00E0319A" w:rsidP="00E0158D">
            <w:pPr>
              <w:spacing w:line="276" w:lineRule="auto"/>
              <w:jc w:val="both"/>
              <w:rPr>
                <w:rFonts w:eastAsia="Calibri Light" w:cstheme="minorHAnsi"/>
                <w:b/>
                <w:bCs/>
                <w:color w:val="212121"/>
                <w:sz w:val="20"/>
                <w:szCs w:val="20"/>
                <w:lang w:val="en-US"/>
              </w:rPr>
            </w:pPr>
            <w:r>
              <w:rPr>
                <w:rFonts w:eastAsia="Calibri Light" w:cstheme="minorHAnsi"/>
                <w:b/>
                <w:bCs/>
                <w:color w:val="212121"/>
                <w:sz w:val="20"/>
                <w:szCs w:val="20"/>
                <w:lang w:val="en-US"/>
              </w:rPr>
              <w:t xml:space="preserve">2015: </w:t>
            </w:r>
            <w:r w:rsidRPr="006001CE">
              <w:rPr>
                <w:rFonts w:eastAsia="Calibri Light" w:cstheme="minorHAnsi"/>
                <w:color w:val="212121"/>
                <w:sz w:val="20"/>
                <w:szCs w:val="20"/>
                <w:lang w:val="en-US"/>
              </w:rPr>
              <w:t>Preclinical studies for the treatment of paroxysmal nocturnal hemoglobinuria confirmed the mechanism of action of the drug.</w:t>
            </w:r>
            <w:r>
              <w:rPr>
                <w:rFonts w:eastAsia="Calibri Light" w:cstheme="minorHAnsi"/>
                <w:b/>
                <w:bCs/>
                <w:color w:val="212121"/>
                <w:sz w:val="20"/>
                <w:szCs w:val="20"/>
                <w:lang w:val="en-US"/>
              </w:rPr>
              <w:t xml:space="preserve"> </w:t>
            </w:r>
            <w:r w:rsidR="00EF460A" w:rsidRPr="00EF460A">
              <w:rPr>
                <w:rFonts w:eastAsia="Calibri Light" w:cstheme="minorHAnsi"/>
                <w:color w:val="212121"/>
                <w:sz w:val="20"/>
                <w:szCs w:val="20"/>
                <w:lang w:val="en-US"/>
              </w:rPr>
              <w:t>[73]</w:t>
            </w:r>
          </w:p>
          <w:p w14:paraId="786FC534" w14:textId="09BA7182" w:rsidR="00E0319A" w:rsidRPr="0000726E" w:rsidRDefault="00E0319A" w:rsidP="00E0158D">
            <w:pPr>
              <w:spacing w:line="276" w:lineRule="auto"/>
              <w:jc w:val="both"/>
              <w:rPr>
                <w:rFonts w:eastAsia="Calibri Light" w:cstheme="minorHAnsi"/>
                <w:b/>
                <w:bCs/>
                <w:color w:val="212121"/>
                <w:sz w:val="20"/>
                <w:szCs w:val="20"/>
                <w:lang w:val="en-US"/>
              </w:rPr>
            </w:pPr>
            <w:r w:rsidRPr="009C0950">
              <w:rPr>
                <w:rFonts w:eastAsia="Calibri Light" w:cstheme="minorHAnsi"/>
                <w:b/>
                <w:bCs/>
                <w:color w:val="212121"/>
                <w:sz w:val="20"/>
                <w:szCs w:val="20"/>
                <w:lang w:val="en-US"/>
              </w:rPr>
              <w:t>2022</w:t>
            </w:r>
            <w:r w:rsidRPr="006001CE">
              <w:rPr>
                <w:rFonts w:eastAsia="Calibri Light" w:cstheme="minorHAnsi"/>
                <w:color w:val="212121"/>
                <w:sz w:val="20"/>
                <w:szCs w:val="20"/>
                <w:lang w:val="en-US"/>
              </w:rPr>
              <w:t xml:space="preserve">: Administration of </w:t>
            </w:r>
            <w:proofErr w:type="spellStart"/>
            <w:r w:rsidRPr="006001CE">
              <w:rPr>
                <w:rFonts w:eastAsia="Calibri Light" w:cstheme="minorHAnsi"/>
                <w:color w:val="212121"/>
                <w:sz w:val="20"/>
                <w:szCs w:val="20"/>
                <w:lang w:val="en-US"/>
              </w:rPr>
              <w:t>zilucoplan</w:t>
            </w:r>
            <w:proofErr w:type="spellEnd"/>
            <w:r w:rsidRPr="006001CE">
              <w:rPr>
                <w:rFonts w:eastAsia="Calibri Light" w:cstheme="minorHAnsi"/>
                <w:color w:val="212121"/>
                <w:sz w:val="20"/>
                <w:szCs w:val="20"/>
                <w:lang w:val="en-US"/>
              </w:rPr>
              <w:t xml:space="preserve"> in a mouse model of immune-mediated </w:t>
            </w:r>
            <w:proofErr w:type="spellStart"/>
            <w:r w:rsidRPr="006001CE">
              <w:rPr>
                <w:rFonts w:eastAsia="Calibri Light" w:cstheme="minorHAnsi"/>
                <w:color w:val="212121"/>
                <w:sz w:val="20"/>
                <w:szCs w:val="20"/>
                <w:lang w:val="en-US"/>
              </w:rPr>
              <w:t>necrotising</w:t>
            </w:r>
            <w:proofErr w:type="spellEnd"/>
            <w:r w:rsidRPr="006001CE">
              <w:rPr>
                <w:rFonts w:eastAsia="Calibri Light" w:cstheme="minorHAnsi"/>
                <w:color w:val="212121"/>
                <w:sz w:val="20"/>
                <w:szCs w:val="20"/>
                <w:lang w:val="en-US"/>
              </w:rPr>
              <w:t xml:space="preserve"> myopathy showed strength loss prevention and reduction of C5b-9 deposits on </w:t>
            </w:r>
            <w:proofErr w:type="spellStart"/>
            <w:r w:rsidRPr="006001CE">
              <w:rPr>
                <w:rFonts w:eastAsia="Calibri Light" w:cstheme="minorHAnsi"/>
                <w:color w:val="212121"/>
                <w:sz w:val="20"/>
                <w:szCs w:val="20"/>
                <w:lang w:val="en-US"/>
              </w:rPr>
              <w:t>myofibres</w:t>
            </w:r>
            <w:proofErr w:type="spellEnd"/>
            <w:r w:rsidR="00EF460A">
              <w:rPr>
                <w:rFonts w:eastAsia="Calibri Light" w:cstheme="minorHAnsi"/>
                <w:color w:val="212121"/>
                <w:sz w:val="20"/>
                <w:szCs w:val="20"/>
                <w:lang w:val="en-US"/>
              </w:rPr>
              <w:t>. [74]</w:t>
            </w:r>
          </w:p>
        </w:tc>
      </w:tr>
    </w:tbl>
    <w:p w14:paraId="156BE80F" w14:textId="77777777" w:rsidR="00E0319A" w:rsidRPr="005C32C6" w:rsidRDefault="00E0319A" w:rsidP="00E0319A">
      <w:pPr>
        <w:spacing w:after="0" w:line="276" w:lineRule="auto"/>
        <w:jc w:val="both"/>
        <w:rPr>
          <w:b/>
          <w:bCs/>
          <w:sz w:val="20"/>
          <w:szCs w:val="20"/>
          <w:lang w:val="en-US"/>
        </w:rPr>
      </w:pPr>
      <w:r w:rsidRPr="005C32C6">
        <w:rPr>
          <w:b/>
          <w:bCs/>
          <w:sz w:val="20"/>
          <w:szCs w:val="20"/>
          <w:lang w:val="en-US"/>
        </w:rPr>
        <w:t xml:space="preserve">Abbreviations: </w:t>
      </w:r>
      <w:proofErr w:type="spellStart"/>
      <w:r w:rsidRPr="005C32C6">
        <w:rPr>
          <w:sz w:val="20"/>
          <w:szCs w:val="20"/>
          <w:lang w:val="en-US"/>
        </w:rPr>
        <w:t>AChR</w:t>
      </w:r>
      <w:proofErr w:type="spellEnd"/>
      <w:r w:rsidRPr="005C32C6">
        <w:rPr>
          <w:sz w:val="20"/>
          <w:szCs w:val="20"/>
          <w:lang w:val="en-US"/>
        </w:rPr>
        <w:t xml:space="preserve"> = Acetylcholine Receptor; EAMG = Experimental Autoimmune Myasthenia Gravis; FcRn = Neonatal Fc Receptor; IgG = Immunoglobulin G; </w:t>
      </w:r>
      <w:proofErr w:type="spellStart"/>
      <w:r w:rsidRPr="005C32C6">
        <w:rPr>
          <w:sz w:val="20"/>
          <w:szCs w:val="20"/>
          <w:lang w:val="en-US"/>
        </w:rPr>
        <w:t>MuSK</w:t>
      </w:r>
      <w:proofErr w:type="spellEnd"/>
      <w:r w:rsidRPr="005C32C6">
        <w:rPr>
          <w:sz w:val="20"/>
          <w:szCs w:val="20"/>
          <w:lang w:val="en-US"/>
        </w:rPr>
        <w:t xml:space="preserve"> = Muscle-Specific Tyrosine Kinase.</w:t>
      </w:r>
    </w:p>
    <w:p w14:paraId="67B23288" w14:textId="77777777" w:rsidR="00E0319A" w:rsidRPr="005C32C6" w:rsidRDefault="00E0319A" w:rsidP="00E0319A">
      <w:pPr>
        <w:jc w:val="both"/>
        <w:rPr>
          <w:b/>
          <w:bCs/>
          <w:lang w:val="en-US"/>
        </w:rPr>
        <w:sectPr w:rsidR="00E0319A" w:rsidRPr="005C32C6" w:rsidSect="008D6B25">
          <w:pgSz w:w="11906" w:h="16838"/>
          <w:pgMar w:top="1417" w:right="1134" w:bottom="1134" w:left="1134" w:header="708" w:footer="708" w:gutter="0"/>
          <w:cols w:space="708"/>
          <w:docGrid w:linePitch="360"/>
        </w:sectPr>
      </w:pPr>
    </w:p>
    <w:p w14:paraId="3A497641" w14:textId="6CCCB62B" w:rsidR="00E0319A" w:rsidRPr="0058165C" w:rsidRDefault="00E0319A" w:rsidP="00E0319A">
      <w:pPr>
        <w:jc w:val="both"/>
        <w:rPr>
          <w:lang w:val="en-US"/>
        </w:rPr>
      </w:pPr>
      <w:r w:rsidRPr="0058165C">
        <w:rPr>
          <w:b/>
          <w:bCs/>
          <w:lang w:val="en-US"/>
        </w:rPr>
        <w:lastRenderedPageBreak/>
        <w:t xml:space="preserve">Table </w:t>
      </w:r>
      <w:r>
        <w:rPr>
          <w:b/>
          <w:bCs/>
          <w:lang w:val="en-US"/>
        </w:rPr>
        <w:t>3</w:t>
      </w:r>
      <w:r w:rsidRPr="0058165C">
        <w:rPr>
          <w:b/>
          <w:bCs/>
          <w:lang w:val="en-US"/>
        </w:rPr>
        <w:t xml:space="preserve">. </w:t>
      </w:r>
      <w:r w:rsidRPr="0058165C">
        <w:rPr>
          <w:lang w:val="en-US"/>
        </w:rPr>
        <w:t xml:space="preserve">Experimental and observational clinical trials related to eculizumab, </w:t>
      </w:r>
      <w:proofErr w:type="spellStart"/>
      <w:r w:rsidRPr="0058165C">
        <w:rPr>
          <w:lang w:val="en-US"/>
        </w:rPr>
        <w:t>ravulizumab</w:t>
      </w:r>
      <w:proofErr w:type="spellEnd"/>
      <w:r w:rsidRPr="0058165C">
        <w:rPr>
          <w:lang w:val="en-US"/>
        </w:rPr>
        <w:t>, efgartigimod</w:t>
      </w:r>
      <w:r>
        <w:rPr>
          <w:lang w:val="en-US"/>
        </w:rPr>
        <w:t xml:space="preserve">, </w:t>
      </w:r>
      <w:proofErr w:type="spellStart"/>
      <w:r>
        <w:rPr>
          <w:lang w:val="en-US"/>
        </w:rPr>
        <w:t>rozanolixizumab</w:t>
      </w:r>
      <w:proofErr w:type="spellEnd"/>
      <w:r>
        <w:rPr>
          <w:lang w:val="en-US"/>
        </w:rPr>
        <w:t xml:space="preserve">, and </w:t>
      </w:r>
      <w:proofErr w:type="spellStart"/>
      <w:r>
        <w:rPr>
          <w:lang w:val="en-US"/>
        </w:rPr>
        <w:t>zilucoplan</w:t>
      </w:r>
      <w:proofErr w:type="spellEnd"/>
      <w:r w:rsidRPr="0058165C">
        <w:rPr>
          <w:lang w:val="en-US"/>
        </w:rPr>
        <w:t xml:space="preserve"> registered on clinicaltrials.gov as of June 22, 2023.</w:t>
      </w:r>
    </w:p>
    <w:tbl>
      <w:tblPr>
        <w:tblW w:w="16444"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9"/>
        <w:gridCol w:w="764"/>
        <w:gridCol w:w="1498"/>
        <w:gridCol w:w="1707"/>
        <w:gridCol w:w="1843"/>
        <w:gridCol w:w="3118"/>
        <w:gridCol w:w="3969"/>
        <w:gridCol w:w="1276"/>
      </w:tblGrid>
      <w:tr w:rsidR="00E0319A" w:rsidRPr="005D37A9" w14:paraId="53F05C3A" w14:textId="77777777" w:rsidTr="00E0319A">
        <w:trPr>
          <w:trHeight w:val="285"/>
        </w:trPr>
        <w:tc>
          <w:tcPr>
            <w:tcW w:w="2269" w:type="dxa"/>
            <w:shd w:val="clear" w:color="auto" w:fill="auto"/>
            <w:noWrap/>
            <w:vAlign w:val="center"/>
            <w:hideMark/>
          </w:tcPr>
          <w:p w14:paraId="2F4A7634" w14:textId="2ADC7D44" w:rsidR="00E0319A" w:rsidRPr="002C5F4C" w:rsidRDefault="00E0319A" w:rsidP="00E0319A">
            <w:pPr>
              <w:spacing w:after="0" w:line="240" w:lineRule="auto"/>
              <w:rPr>
                <w:rFonts w:eastAsia="Times New Roman" w:cstheme="minorHAnsi"/>
                <w:b/>
                <w:bCs/>
                <w:color w:val="000000"/>
                <w:sz w:val="20"/>
                <w:szCs w:val="20"/>
                <w:lang w:val="en-US" w:eastAsia="it-IT"/>
              </w:rPr>
            </w:pPr>
            <w:bookmarkStart w:id="12" w:name="_Hlk139963874"/>
            <w:r w:rsidRPr="002C5F4C">
              <w:rPr>
                <w:rFonts w:eastAsia="Times New Roman" w:cstheme="minorHAnsi"/>
                <w:b/>
                <w:bCs/>
                <w:color w:val="000000"/>
                <w:sz w:val="20"/>
                <w:szCs w:val="20"/>
                <w:lang w:val="en-US" w:eastAsia="it-IT"/>
              </w:rPr>
              <w:t>NCT</w:t>
            </w:r>
          </w:p>
        </w:tc>
        <w:tc>
          <w:tcPr>
            <w:tcW w:w="764" w:type="dxa"/>
            <w:vAlign w:val="center"/>
          </w:tcPr>
          <w:p w14:paraId="56A57385" w14:textId="77777777" w:rsidR="00E0319A" w:rsidRDefault="00E0319A" w:rsidP="00E0158D">
            <w:pPr>
              <w:spacing w:after="0" w:line="240" w:lineRule="auto"/>
              <w:rPr>
                <w:rFonts w:eastAsia="Times New Roman" w:cstheme="minorHAnsi"/>
                <w:b/>
                <w:bCs/>
                <w:color w:val="000000"/>
                <w:sz w:val="20"/>
                <w:szCs w:val="20"/>
                <w:lang w:val="en-US" w:eastAsia="it-IT"/>
              </w:rPr>
            </w:pPr>
            <w:r w:rsidRPr="00A475CD">
              <w:rPr>
                <w:rFonts w:eastAsia="Times New Roman" w:cstheme="minorHAnsi"/>
                <w:b/>
                <w:bCs/>
                <w:color w:val="000000"/>
                <w:sz w:val="20"/>
                <w:szCs w:val="20"/>
                <w:lang w:val="en-US" w:eastAsia="it-IT"/>
              </w:rPr>
              <w:t>Phase</w:t>
            </w:r>
          </w:p>
        </w:tc>
        <w:tc>
          <w:tcPr>
            <w:tcW w:w="1498" w:type="dxa"/>
            <w:shd w:val="clear" w:color="auto" w:fill="auto"/>
            <w:noWrap/>
            <w:vAlign w:val="center"/>
            <w:hideMark/>
          </w:tcPr>
          <w:p w14:paraId="244D8BDC" w14:textId="77777777" w:rsidR="00E0319A" w:rsidRPr="002C5F4C" w:rsidRDefault="00E0319A" w:rsidP="00E0158D">
            <w:pPr>
              <w:spacing w:after="0" w:line="240" w:lineRule="auto"/>
              <w:rPr>
                <w:rFonts w:eastAsia="Times New Roman" w:cstheme="minorHAnsi"/>
                <w:b/>
                <w:bCs/>
                <w:color w:val="000000"/>
                <w:sz w:val="20"/>
                <w:szCs w:val="20"/>
                <w:lang w:val="en-US" w:eastAsia="it-IT"/>
              </w:rPr>
            </w:pPr>
            <w:r>
              <w:rPr>
                <w:rFonts w:eastAsia="Times New Roman" w:cstheme="minorHAnsi"/>
                <w:b/>
                <w:bCs/>
                <w:color w:val="000000"/>
                <w:sz w:val="20"/>
                <w:szCs w:val="20"/>
                <w:lang w:val="en-US" w:eastAsia="it-IT"/>
              </w:rPr>
              <w:t>Study</w:t>
            </w:r>
            <w:r w:rsidRPr="002C5F4C">
              <w:rPr>
                <w:rFonts w:eastAsia="Times New Roman" w:cstheme="minorHAnsi"/>
                <w:b/>
                <w:bCs/>
                <w:color w:val="000000"/>
                <w:sz w:val="20"/>
                <w:szCs w:val="20"/>
                <w:lang w:val="en-US" w:eastAsia="it-IT"/>
              </w:rPr>
              <w:t xml:space="preserve"> Drug</w:t>
            </w:r>
          </w:p>
        </w:tc>
        <w:tc>
          <w:tcPr>
            <w:tcW w:w="1707" w:type="dxa"/>
            <w:shd w:val="clear" w:color="auto" w:fill="auto"/>
            <w:noWrap/>
            <w:vAlign w:val="center"/>
            <w:hideMark/>
          </w:tcPr>
          <w:p w14:paraId="4DFB48E5" w14:textId="67BE6647" w:rsidR="00E0319A" w:rsidRPr="002C5F4C" w:rsidRDefault="00E0319A" w:rsidP="00E0158D">
            <w:pPr>
              <w:spacing w:after="0" w:line="240" w:lineRule="auto"/>
              <w:rPr>
                <w:rFonts w:eastAsia="Times New Roman" w:cstheme="minorHAnsi"/>
                <w:b/>
                <w:bCs/>
                <w:color w:val="000000"/>
                <w:sz w:val="20"/>
                <w:szCs w:val="20"/>
                <w:lang w:val="en-US" w:eastAsia="it-IT"/>
              </w:rPr>
            </w:pPr>
            <w:r w:rsidRPr="002C5F4C">
              <w:rPr>
                <w:rFonts w:eastAsia="Times New Roman" w:cstheme="minorHAnsi"/>
                <w:b/>
                <w:bCs/>
                <w:color w:val="000000"/>
                <w:sz w:val="20"/>
                <w:szCs w:val="20"/>
                <w:lang w:val="en-US" w:eastAsia="it-IT"/>
              </w:rPr>
              <w:t>Age of Study Population</w:t>
            </w:r>
            <w:r>
              <w:rPr>
                <w:rFonts w:eastAsia="Times New Roman" w:cstheme="minorHAnsi"/>
                <w:b/>
                <w:bCs/>
                <w:color w:val="000000"/>
                <w:sz w:val="20"/>
                <w:szCs w:val="20"/>
                <w:lang w:val="en-US" w:eastAsia="it-IT"/>
              </w:rPr>
              <w:t>, years</w:t>
            </w:r>
          </w:p>
        </w:tc>
        <w:tc>
          <w:tcPr>
            <w:tcW w:w="1843" w:type="dxa"/>
            <w:vAlign w:val="center"/>
          </w:tcPr>
          <w:p w14:paraId="3C284817" w14:textId="77777777" w:rsidR="00E0319A" w:rsidRPr="002C5F4C" w:rsidRDefault="00E0319A" w:rsidP="00E0158D">
            <w:pPr>
              <w:spacing w:after="0" w:line="240" w:lineRule="auto"/>
              <w:rPr>
                <w:rFonts w:eastAsia="Times New Roman" w:cstheme="minorHAnsi"/>
                <w:b/>
                <w:bCs/>
                <w:color w:val="000000"/>
                <w:sz w:val="20"/>
                <w:szCs w:val="20"/>
                <w:lang w:val="en-US" w:eastAsia="it-IT"/>
              </w:rPr>
            </w:pPr>
            <w:r>
              <w:rPr>
                <w:rFonts w:eastAsia="Times New Roman" w:cstheme="minorHAnsi"/>
                <w:b/>
                <w:bCs/>
                <w:color w:val="000000"/>
                <w:sz w:val="20"/>
                <w:szCs w:val="20"/>
                <w:lang w:val="en-US" w:eastAsia="it-IT"/>
              </w:rPr>
              <w:t>Enrolled patients</w:t>
            </w:r>
            <w:r w:rsidRPr="00E0319A">
              <w:rPr>
                <w:rFonts w:eastAsia="Times New Roman" w:cstheme="minorHAnsi"/>
                <w:b/>
                <w:bCs/>
                <w:color w:val="000000"/>
                <w:sz w:val="20"/>
                <w:szCs w:val="20"/>
                <w:vertAlign w:val="superscript"/>
                <w:lang w:val="en-US" w:eastAsia="it-IT"/>
              </w:rPr>
              <w:t>#</w:t>
            </w:r>
          </w:p>
        </w:tc>
        <w:tc>
          <w:tcPr>
            <w:tcW w:w="3118" w:type="dxa"/>
            <w:vAlign w:val="center"/>
          </w:tcPr>
          <w:p w14:paraId="70627E75" w14:textId="77777777" w:rsidR="00E0319A" w:rsidRPr="002C5F4C" w:rsidRDefault="00E0319A" w:rsidP="00E0319A">
            <w:pPr>
              <w:spacing w:after="0" w:line="240" w:lineRule="auto"/>
              <w:rPr>
                <w:rFonts w:eastAsia="Times New Roman" w:cstheme="minorHAnsi"/>
                <w:b/>
                <w:bCs/>
                <w:color w:val="000000"/>
                <w:sz w:val="20"/>
                <w:szCs w:val="20"/>
                <w:lang w:val="en-US" w:eastAsia="it-IT"/>
              </w:rPr>
            </w:pPr>
            <w:r w:rsidRPr="002C5F4C">
              <w:rPr>
                <w:rFonts w:eastAsia="Times New Roman" w:cstheme="minorHAnsi"/>
                <w:b/>
                <w:bCs/>
                <w:color w:val="000000"/>
                <w:sz w:val="20"/>
                <w:szCs w:val="20"/>
                <w:lang w:val="en-US" w:eastAsia="it-IT"/>
              </w:rPr>
              <w:t xml:space="preserve">Primary Outcome </w:t>
            </w:r>
          </w:p>
        </w:tc>
        <w:tc>
          <w:tcPr>
            <w:tcW w:w="3969" w:type="dxa"/>
            <w:shd w:val="clear" w:color="auto" w:fill="auto"/>
            <w:noWrap/>
            <w:vAlign w:val="center"/>
            <w:hideMark/>
          </w:tcPr>
          <w:p w14:paraId="0D9A421F" w14:textId="0E66A410" w:rsidR="00E0319A" w:rsidRPr="00E0319A" w:rsidRDefault="00E0319A" w:rsidP="00E0158D">
            <w:pPr>
              <w:spacing w:after="0" w:line="240" w:lineRule="auto"/>
              <w:rPr>
                <w:rFonts w:eastAsia="Times New Roman" w:cstheme="minorHAnsi"/>
                <w:b/>
                <w:bCs/>
                <w:color w:val="000000"/>
                <w:sz w:val="20"/>
                <w:szCs w:val="20"/>
                <w:lang w:val="en-US" w:eastAsia="it-IT"/>
              </w:rPr>
            </w:pPr>
            <w:r>
              <w:rPr>
                <w:rFonts w:eastAsia="Times New Roman" w:cstheme="minorHAnsi"/>
                <w:b/>
                <w:bCs/>
                <w:color w:val="000000"/>
                <w:sz w:val="20"/>
                <w:szCs w:val="20"/>
                <w:lang w:val="en-US" w:eastAsia="it-IT"/>
              </w:rPr>
              <w:t>Results*</w:t>
            </w:r>
          </w:p>
        </w:tc>
        <w:tc>
          <w:tcPr>
            <w:tcW w:w="1276" w:type="dxa"/>
            <w:tcBorders>
              <w:right w:val="single" w:sz="4" w:space="0" w:color="000000"/>
            </w:tcBorders>
            <w:shd w:val="clear" w:color="auto" w:fill="auto"/>
            <w:noWrap/>
            <w:vAlign w:val="center"/>
            <w:hideMark/>
          </w:tcPr>
          <w:p w14:paraId="71E75D3A" w14:textId="77777777" w:rsidR="00E0319A" w:rsidRPr="00563523" w:rsidRDefault="00E0319A" w:rsidP="00E0158D">
            <w:pPr>
              <w:spacing w:after="0" w:line="240" w:lineRule="auto"/>
              <w:rPr>
                <w:rFonts w:eastAsia="Times New Roman" w:cstheme="minorHAnsi"/>
                <w:b/>
                <w:bCs/>
                <w:color w:val="000000"/>
                <w:sz w:val="20"/>
                <w:szCs w:val="20"/>
                <w:lang w:eastAsia="it-IT"/>
              </w:rPr>
            </w:pPr>
            <w:r>
              <w:rPr>
                <w:rFonts w:eastAsia="Times New Roman" w:cstheme="minorHAnsi"/>
                <w:b/>
                <w:bCs/>
                <w:color w:val="000000"/>
                <w:sz w:val="20"/>
                <w:szCs w:val="20"/>
                <w:lang w:val="en-US" w:eastAsia="it-IT"/>
              </w:rPr>
              <w:t>Status</w:t>
            </w:r>
          </w:p>
        </w:tc>
      </w:tr>
      <w:tr w:rsidR="00E0319A" w:rsidRPr="005E4073" w14:paraId="23DE1D6C" w14:textId="77777777" w:rsidTr="00E0319A">
        <w:trPr>
          <w:trHeight w:val="285"/>
        </w:trPr>
        <w:tc>
          <w:tcPr>
            <w:tcW w:w="16444" w:type="dxa"/>
            <w:gridSpan w:val="8"/>
            <w:tcBorders>
              <w:right w:val="single" w:sz="4" w:space="0" w:color="000000"/>
            </w:tcBorders>
            <w:shd w:val="clear" w:color="auto" w:fill="D5DCE4" w:themeFill="text2" w:themeFillTint="33"/>
            <w:vAlign w:val="center"/>
          </w:tcPr>
          <w:p w14:paraId="470EF51C" w14:textId="12B0AD5E" w:rsidR="00E0319A" w:rsidRPr="00563523" w:rsidRDefault="00E0319A" w:rsidP="00E0158D">
            <w:pPr>
              <w:spacing w:after="0" w:line="240" w:lineRule="auto"/>
              <w:rPr>
                <w:rFonts w:ascii="Calibri" w:eastAsia="Times New Roman" w:hAnsi="Calibri" w:cs="Calibri"/>
                <w:color w:val="000000"/>
                <w:kern w:val="0"/>
                <w:sz w:val="20"/>
                <w:szCs w:val="20"/>
                <w:lang w:eastAsia="it-IT"/>
                <w14:ligatures w14:val="none"/>
              </w:rPr>
            </w:pPr>
            <w:r>
              <w:rPr>
                <w:rFonts w:ascii="Calibri" w:hAnsi="Calibri" w:cs="Calibri"/>
                <w:b/>
                <w:bCs/>
                <w:color w:val="000000"/>
                <w:sz w:val="20"/>
                <w:szCs w:val="20"/>
                <w:lang w:val="en-US"/>
              </w:rPr>
              <w:t>Clinical trials</w:t>
            </w:r>
          </w:p>
        </w:tc>
      </w:tr>
      <w:tr w:rsidR="00E0319A" w:rsidRPr="008D6439" w14:paraId="32AD6342" w14:textId="77777777" w:rsidTr="00E0319A">
        <w:trPr>
          <w:trHeight w:val="285"/>
        </w:trPr>
        <w:tc>
          <w:tcPr>
            <w:tcW w:w="2269" w:type="dxa"/>
            <w:shd w:val="clear" w:color="auto" w:fill="auto"/>
            <w:noWrap/>
            <w:vAlign w:val="center"/>
          </w:tcPr>
          <w:p w14:paraId="1B1B8171" w14:textId="3B1FAC79" w:rsidR="00E0319A" w:rsidRPr="00563523" w:rsidRDefault="00E0319A" w:rsidP="00E0158D">
            <w:pPr>
              <w:spacing w:after="0" w:line="240" w:lineRule="auto"/>
              <w:jc w:val="both"/>
              <w:rPr>
                <w:rFonts w:eastAsia="Times New Roman" w:cstheme="minorHAnsi"/>
                <w:color w:val="000000"/>
                <w:sz w:val="20"/>
                <w:szCs w:val="20"/>
                <w:lang w:val="en-GB" w:eastAsia="it-IT"/>
              </w:rPr>
            </w:pPr>
            <w:r w:rsidRPr="00563523">
              <w:rPr>
                <w:rFonts w:ascii="Calibri" w:hAnsi="Calibri" w:cs="Calibri"/>
                <w:color w:val="000000"/>
                <w:sz w:val="20"/>
                <w:szCs w:val="20"/>
                <w:lang w:val="en-US"/>
              </w:rPr>
              <w:t>NCT03759366</w:t>
            </w:r>
            <w:r w:rsidR="00EF460A">
              <w:rPr>
                <w:rFonts w:ascii="Calibri" w:hAnsi="Calibri" w:cs="Calibri"/>
                <w:color w:val="000000"/>
                <w:sz w:val="20"/>
                <w:szCs w:val="20"/>
                <w:lang w:val="en-US"/>
              </w:rPr>
              <w:t xml:space="preserve"> [98]</w:t>
            </w:r>
          </w:p>
        </w:tc>
        <w:tc>
          <w:tcPr>
            <w:tcW w:w="764" w:type="dxa"/>
            <w:vAlign w:val="center"/>
          </w:tcPr>
          <w:p w14:paraId="0941914A" w14:textId="77777777" w:rsidR="00E0319A" w:rsidRPr="00563523" w:rsidRDefault="00E0319A" w:rsidP="00E0158D">
            <w:pPr>
              <w:spacing w:after="0" w:line="240" w:lineRule="auto"/>
              <w:rPr>
                <w:sz w:val="20"/>
                <w:szCs w:val="20"/>
              </w:rPr>
            </w:pPr>
            <w:r w:rsidRPr="00563523">
              <w:rPr>
                <w:sz w:val="20"/>
                <w:szCs w:val="20"/>
              </w:rPr>
              <w:t>III</w:t>
            </w:r>
          </w:p>
        </w:tc>
        <w:tc>
          <w:tcPr>
            <w:tcW w:w="1498" w:type="dxa"/>
            <w:shd w:val="clear" w:color="auto" w:fill="auto"/>
            <w:noWrap/>
            <w:vAlign w:val="center"/>
          </w:tcPr>
          <w:p w14:paraId="336F7111" w14:textId="77777777" w:rsidR="00E0319A" w:rsidRPr="00563523" w:rsidRDefault="00E0319A" w:rsidP="00E0158D">
            <w:pPr>
              <w:spacing w:after="0" w:line="240" w:lineRule="auto"/>
              <w:rPr>
                <w:rFonts w:ascii="Calibri" w:eastAsia="Times New Roman" w:hAnsi="Calibri" w:cs="Calibri"/>
                <w:color w:val="000000"/>
                <w:kern w:val="0"/>
                <w:sz w:val="20"/>
                <w:szCs w:val="20"/>
                <w:lang w:val="en-US" w:eastAsia="it-IT"/>
                <w14:ligatures w14:val="none"/>
              </w:rPr>
            </w:pPr>
            <w:proofErr w:type="spellStart"/>
            <w:r w:rsidRPr="00563523">
              <w:rPr>
                <w:sz w:val="20"/>
                <w:szCs w:val="20"/>
              </w:rPr>
              <w:t>Eculizumab</w:t>
            </w:r>
            <w:proofErr w:type="spellEnd"/>
          </w:p>
        </w:tc>
        <w:tc>
          <w:tcPr>
            <w:tcW w:w="1707" w:type="dxa"/>
            <w:shd w:val="clear" w:color="auto" w:fill="auto"/>
            <w:noWrap/>
            <w:vAlign w:val="center"/>
          </w:tcPr>
          <w:p w14:paraId="555160F5" w14:textId="44E0FD6B" w:rsidR="00E0319A" w:rsidRPr="00563523" w:rsidRDefault="00E0319A" w:rsidP="00E0158D">
            <w:pPr>
              <w:spacing w:after="0" w:line="240" w:lineRule="auto"/>
              <w:rPr>
                <w:rFonts w:eastAsia="Times New Roman" w:cstheme="minorHAnsi"/>
                <w:color w:val="000000"/>
                <w:sz w:val="20"/>
                <w:szCs w:val="20"/>
                <w:lang w:val="en-US" w:eastAsia="it-IT"/>
              </w:rPr>
            </w:pPr>
            <w:r w:rsidRPr="00563523">
              <w:rPr>
                <w:rFonts w:ascii="Calibri" w:eastAsia="Times New Roman" w:hAnsi="Calibri" w:cs="Calibri"/>
                <w:color w:val="000000"/>
                <w:kern w:val="0"/>
                <w:sz w:val="20"/>
                <w:szCs w:val="20"/>
                <w:lang w:val="en-US" w:eastAsia="it-IT"/>
                <w14:ligatures w14:val="none"/>
              </w:rPr>
              <w:t>6-17</w:t>
            </w:r>
          </w:p>
        </w:tc>
        <w:tc>
          <w:tcPr>
            <w:tcW w:w="1843" w:type="dxa"/>
            <w:vAlign w:val="center"/>
          </w:tcPr>
          <w:p w14:paraId="2E01714B" w14:textId="77777777" w:rsidR="00E0319A" w:rsidRPr="002C5F4C" w:rsidRDefault="00E0319A" w:rsidP="00E0319A">
            <w:pPr>
              <w:spacing w:after="0" w:line="240" w:lineRule="auto"/>
              <w:rPr>
                <w:rFonts w:ascii="Calibri" w:eastAsia="Times New Roman" w:hAnsi="Calibri" w:cs="Calibri"/>
                <w:color w:val="000000"/>
                <w:kern w:val="0"/>
                <w:sz w:val="20"/>
                <w:szCs w:val="20"/>
                <w:lang w:val="en-US" w:eastAsia="it-IT"/>
                <w14:ligatures w14:val="none"/>
              </w:rPr>
            </w:pPr>
            <w:r>
              <w:rPr>
                <w:rFonts w:ascii="Calibri" w:eastAsia="Times New Roman" w:hAnsi="Calibri" w:cs="Calibri"/>
                <w:color w:val="000000"/>
                <w:kern w:val="0"/>
                <w:sz w:val="20"/>
                <w:szCs w:val="20"/>
                <w:lang w:val="en-US" w:eastAsia="it-IT"/>
                <w14:ligatures w14:val="none"/>
              </w:rPr>
              <w:t>10</w:t>
            </w:r>
          </w:p>
        </w:tc>
        <w:tc>
          <w:tcPr>
            <w:tcW w:w="3118" w:type="dxa"/>
            <w:vAlign w:val="center"/>
          </w:tcPr>
          <w:p w14:paraId="08641F5E" w14:textId="77777777" w:rsidR="00E0319A" w:rsidRPr="002C5F4C" w:rsidRDefault="00E0319A" w:rsidP="00E0158D">
            <w:pPr>
              <w:spacing w:after="0" w:line="240" w:lineRule="auto"/>
              <w:jc w:val="both"/>
              <w:rPr>
                <w:rFonts w:eastAsia="Times New Roman" w:cstheme="minorHAnsi"/>
                <w:color w:val="000000"/>
                <w:sz w:val="20"/>
                <w:szCs w:val="20"/>
                <w:lang w:val="en-US" w:eastAsia="it-IT"/>
              </w:rPr>
            </w:pPr>
            <w:r w:rsidRPr="002C5F4C">
              <w:rPr>
                <w:rFonts w:ascii="Calibri" w:eastAsia="Times New Roman" w:hAnsi="Calibri" w:cs="Calibri"/>
                <w:color w:val="000000"/>
                <w:kern w:val="0"/>
                <w:sz w:val="20"/>
                <w:szCs w:val="20"/>
                <w:lang w:val="en-US" w:eastAsia="it-IT"/>
                <w14:ligatures w14:val="none"/>
              </w:rPr>
              <w:t>Change in total score of the MG-ADL scale at week 26, regardless of rescue treatment</w:t>
            </w:r>
          </w:p>
        </w:tc>
        <w:tc>
          <w:tcPr>
            <w:tcW w:w="3969" w:type="dxa"/>
            <w:shd w:val="clear" w:color="auto" w:fill="auto"/>
            <w:noWrap/>
            <w:vAlign w:val="center"/>
          </w:tcPr>
          <w:p w14:paraId="041419D1" w14:textId="77777777" w:rsidR="00E0319A" w:rsidRPr="00345482" w:rsidRDefault="00E0319A" w:rsidP="00E0319A">
            <w:pPr>
              <w:spacing w:after="0" w:line="240" w:lineRule="auto"/>
              <w:jc w:val="both"/>
              <w:rPr>
                <w:rFonts w:eastAsia="Times New Roman" w:cstheme="minorHAnsi"/>
                <w:color w:val="000000"/>
                <w:sz w:val="20"/>
                <w:szCs w:val="20"/>
                <w:lang w:val="en-US" w:eastAsia="it-IT"/>
              </w:rPr>
            </w:pPr>
            <w:r w:rsidRPr="00EE1F6E">
              <w:rPr>
                <w:rFonts w:eastAsia="Times New Roman" w:cstheme="minorHAnsi"/>
                <w:color w:val="000000"/>
                <w:sz w:val="20"/>
                <w:szCs w:val="20"/>
                <w:lang w:val="en-US" w:eastAsia="it-IT"/>
              </w:rPr>
              <w:t xml:space="preserve">11 </w:t>
            </w:r>
            <w:r>
              <w:rPr>
                <w:rFonts w:eastAsia="Times New Roman" w:cstheme="minorHAnsi"/>
                <w:color w:val="000000"/>
                <w:sz w:val="20"/>
                <w:szCs w:val="20"/>
                <w:lang w:val="en-US" w:eastAsia="it-IT"/>
              </w:rPr>
              <w:t>patients, a</w:t>
            </w:r>
            <w:r w:rsidRPr="00EE1F6E">
              <w:rPr>
                <w:rFonts w:eastAsia="Times New Roman" w:cstheme="minorHAnsi"/>
                <w:color w:val="000000"/>
                <w:sz w:val="20"/>
                <w:szCs w:val="20"/>
                <w:lang w:val="en-US" w:eastAsia="it-IT"/>
              </w:rPr>
              <w:t>fter 26 weeks of therapy, experienced least square mean changes of –</w:t>
            </w:r>
            <w:r>
              <w:rPr>
                <w:rFonts w:eastAsia="Times New Roman" w:cstheme="minorHAnsi"/>
                <w:color w:val="000000"/>
                <w:sz w:val="20"/>
                <w:szCs w:val="20"/>
                <w:lang w:val="en-US" w:eastAsia="it-IT"/>
              </w:rPr>
              <w:t>5</w:t>
            </w:r>
            <w:r w:rsidRPr="00EE1F6E">
              <w:rPr>
                <w:rFonts w:eastAsia="Times New Roman" w:cstheme="minorHAnsi"/>
                <w:color w:val="000000"/>
                <w:sz w:val="20"/>
                <w:szCs w:val="20"/>
                <w:lang w:val="en-US" w:eastAsia="it-IT"/>
              </w:rPr>
              <w:t xml:space="preserve">.8 for </w:t>
            </w:r>
            <w:proofErr w:type="spellStart"/>
            <w:r w:rsidRPr="00EE1F6E">
              <w:rPr>
                <w:rFonts w:eastAsia="Times New Roman" w:cstheme="minorHAnsi"/>
                <w:color w:val="000000"/>
                <w:sz w:val="20"/>
                <w:szCs w:val="20"/>
                <w:lang w:val="en-US" w:eastAsia="it-IT"/>
              </w:rPr>
              <w:t>qMG</w:t>
            </w:r>
            <w:proofErr w:type="spellEnd"/>
            <w:r w:rsidRPr="00EE1F6E">
              <w:rPr>
                <w:rFonts w:eastAsia="Times New Roman" w:cstheme="minorHAnsi"/>
                <w:color w:val="000000"/>
                <w:sz w:val="20"/>
                <w:szCs w:val="20"/>
                <w:lang w:val="en-US" w:eastAsia="it-IT"/>
              </w:rPr>
              <w:t>) total score and ¬–2.3 for MG-AD</w:t>
            </w:r>
            <w:r>
              <w:rPr>
                <w:rFonts w:eastAsia="Times New Roman" w:cstheme="minorHAnsi"/>
                <w:color w:val="000000"/>
                <w:sz w:val="20"/>
                <w:szCs w:val="20"/>
                <w:lang w:val="en-US" w:eastAsia="it-IT"/>
              </w:rPr>
              <w:t>L</w:t>
            </w:r>
            <w:r w:rsidRPr="00EE1F6E">
              <w:rPr>
                <w:rFonts w:eastAsia="Times New Roman" w:cstheme="minorHAnsi"/>
                <w:color w:val="000000"/>
                <w:sz w:val="20"/>
                <w:szCs w:val="20"/>
                <w:lang w:val="en-US" w:eastAsia="it-IT"/>
              </w:rPr>
              <w:t xml:space="preserve"> total score.</w:t>
            </w:r>
            <w:r>
              <w:rPr>
                <w:rFonts w:eastAsia="Times New Roman" w:cstheme="minorHAnsi"/>
                <w:color w:val="000000"/>
                <w:sz w:val="20"/>
                <w:szCs w:val="20"/>
                <w:lang w:val="en-US" w:eastAsia="it-IT"/>
              </w:rPr>
              <w:t xml:space="preserve"> </w:t>
            </w:r>
            <w:r w:rsidRPr="00EE1F6E">
              <w:rPr>
                <w:rFonts w:eastAsia="Times New Roman" w:cstheme="minorHAnsi"/>
                <w:color w:val="000000"/>
                <w:sz w:val="20"/>
                <w:szCs w:val="20"/>
                <w:lang w:val="en-US" w:eastAsia="it-IT"/>
              </w:rPr>
              <w:t>During the study, adverse events</w:t>
            </w:r>
            <w:r>
              <w:rPr>
                <w:rFonts w:eastAsia="Times New Roman" w:cstheme="minorHAnsi"/>
                <w:color w:val="000000"/>
                <w:sz w:val="20"/>
                <w:szCs w:val="20"/>
                <w:lang w:val="en-US" w:eastAsia="it-IT"/>
              </w:rPr>
              <w:t xml:space="preserve"> </w:t>
            </w:r>
            <w:r w:rsidRPr="00EE1F6E">
              <w:rPr>
                <w:rFonts w:eastAsia="Times New Roman" w:cstheme="minorHAnsi"/>
                <w:color w:val="000000"/>
                <w:sz w:val="20"/>
                <w:szCs w:val="20"/>
                <w:lang w:val="en-US" w:eastAsia="it-IT"/>
              </w:rPr>
              <w:t>were predominantly mild to moderate in severity and mainly unrelated to eculizumab</w:t>
            </w:r>
            <w:r>
              <w:rPr>
                <w:rFonts w:eastAsia="Times New Roman" w:cstheme="minorHAnsi"/>
                <w:color w:val="000000"/>
                <w:sz w:val="20"/>
                <w:szCs w:val="20"/>
                <w:lang w:val="en-US" w:eastAsia="it-IT"/>
              </w:rPr>
              <w:t>.</w:t>
            </w:r>
          </w:p>
        </w:tc>
        <w:tc>
          <w:tcPr>
            <w:tcW w:w="1276" w:type="dxa"/>
            <w:tcBorders>
              <w:right w:val="single" w:sz="4" w:space="0" w:color="000000"/>
            </w:tcBorders>
            <w:shd w:val="clear" w:color="auto" w:fill="auto"/>
            <w:noWrap/>
            <w:vAlign w:val="center"/>
          </w:tcPr>
          <w:p w14:paraId="122F110A" w14:textId="77777777" w:rsidR="00E0319A" w:rsidRPr="002C5F4C" w:rsidRDefault="00E0319A" w:rsidP="00E0158D">
            <w:pPr>
              <w:spacing w:after="0" w:line="240" w:lineRule="auto"/>
              <w:jc w:val="both"/>
              <w:rPr>
                <w:rFonts w:eastAsia="Times New Roman" w:cstheme="minorHAnsi"/>
                <w:color w:val="000000"/>
                <w:sz w:val="20"/>
                <w:szCs w:val="20"/>
                <w:lang w:val="en-US" w:eastAsia="it-IT"/>
              </w:rPr>
            </w:pPr>
            <w:proofErr w:type="spellStart"/>
            <w:r>
              <w:rPr>
                <w:sz w:val="20"/>
                <w:szCs w:val="20"/>
              </w:rPr>
              <w:t>Ongoing</w:t>
            </w:r>
            <w:proofErr w:type="spellEnd"/>
          </w:p>
        </w:tc>
      </w:tr>
      <w:tr w:rsidR="00E0319A" w:rsidRPr="008D6439" w14:paraId="42E6F421" w14:textId="77777777" w:rsidTr="00E0319A">
        <w:trPr>
          <w:trHeight w:val="285"/>
        </w:trPr>
        <w:tc>
          <w:tcPr>
            <w:tcW w:w="2269" w:type="dxa"/>
            <w:shd w:val="clear" w:color="auto" w:fill="auto"/>
            <w:noWrap/>
            <w:vAlign w:val="center"/>
          </w:tcPr>
          <w:p w14:paraId="40C59E6A" w14:textId="4F1E7735" w:rsidR="00E0319A" w:rsidRPr="00563523" w:rsidRDefault="00E0319A" w:rsidP="00E0158D">
            <w:pPr>
              <w:spacing w:after="0" w:line="240" w:lineRule="auto"/>
              <w:jc w:val="both"/>
              <w:rPr>
                <w:rFonts w:eastAsia="Times New Roman" w:cstheme="minorHAnsi"/>
                <w:color w:val="000000"/>
                <w:sz w:val="20"/>
                <w:szCs w:val="20"/>
                <w:lang w:val="en-GB" w:eastAsia="it-IT"/>
              </w:rPr>
            </w:pPr>
            <w:r w:rsidRPr="00563523">
              <w:rPr>
                <w:rFonts w:ascii="Calibri" w:hAnsi="Calibri" w:cs="Calibri"/>
                <w:color w:val="000000"/>
                <w:sz w:val="20"/>
                <w:szCs w:val="20"/>
                <w:lang w:val="en-US"/>
              </w:rPr>
              <w:t>NCT00727194</w:t>
            </w:r>
            <w:r w:rsidR="00EF460A">
              <w:rPr>
                <w:rFonts w:ascii="Calibri" w:hAnsi="Calibri" w:cs="Calibri"/>
                <w:color w:val="000000"/>
                <w:sz w:val="20"/>
                <w:szCs w:val="20"/>
                <w:lang w:val="en-US"/>
              </w:rPr>
              <w:t xml:space="preserve"> [99]</w:t>
            </w:r>
          </w:p>
        </w:tc>
        <w:tc>
          <w:tcPr>
            <w:tcW w:w="764" w:type="dxa"/>
            <w:vAlign w:val="center"/>
          </w:tcPr>
          <w:p w14:paraId="785B0E43" w14:textId="77777777" w:rsidR="00E0319A" w:rsidRPr="00563523" w:rsidRDefault="00E0319A" w:rsidP="00E0158D">
            <w:pPr>
              <w:spacing w:after="0" w:line="240" w:lineRule="auto"/>
              <w:rPr>
                <w:sz w:val="20"/>
                <w:szCs w:val="20"/>
              </w:rPr>
            </w:pPr>
            <w:r w:rsidRPr="00563523">
              <w:rPr>
                <w:sz w:val="20"/>
                <w:szCs w:val="20"/>
              </w:rPr>
              <w:t>II</w:t>
            </w:r>
          </w:p>
        </w:tc>
        <w:tc>
          <w:tcPr>
            <w:tcW w:w="1498" w:type="dxa"/>
            <w:shd w:val="clear" w:color="auto" w:fill="auto"/>
            <w:noWrap/>
            <w:vAlign w:val="center"/>
          </w:tcPr>
          <w:p w14:paraId="583F24A9" w14:textId="77777777" w:rsidR="00E0319A" w:rsidRPr="00563523" w:rsidRDefault="00E0319A" w:rsidP="00E0158D">
            <w:pPr>
              <w:spacing w:after="0" w:line="240" w:lineRule="auto"/>
              <w:rPr>
                <w:rFonts w:ascii="Calibri" w:eastAsia="Times New Roman" w:hAnsi="Calibri" w:cs="Calibri"/>
                <w:color w:val="000000"/>
                <w:kern w:val="0"/>
                <w:sz w:val="20"/>
                <w:szCs w:val="20"/>
                <w:lang w:val="en-US" w:eastAsia="it-IT"/>
                <w14:ligatures w14:val="none"/>
              </w:rPr>
            </w:pPr>
            <w:proofErr w:type="spellStart"/>
            <w:r w:rsidRPr="00563523">
              <w:rPr>
                <w:sz w:val="20"/>
                <w:szCs w:val="20"/>
              </w:rPr>
              <w:t>Eculizumab</w:t>
            </w:r>
            <w:proofErr w:type="spellEnd"/>
          </w:p>
        </w:tc>
        <w:tc>
          <w:tcPr>
            <w:tcW w:w="1707" w:type="dxa"/>
            <w:shd w:val="clear" w:color="auto" w:fill="auto"/>
            <w:noWrap/>
            <w:vAlign w:val="center"/>
          </w:tcPr>
          <w:p w14:paraId="096E5F35" w14:textId="2CBAF532" w:rsidR="00E0319A" w:rsidRPr="00563523" w:rsidRDefault="00E0319A" w:rsidP="00E0158D">
            <w:pPr>
              <w:spacing w:after="0" w:line="240" w:lineRule="auto"/>
              <w:rPr>
                <w:rFonts w:eastAsia="Times New Roman" w:cstheme="minorHAnsi"/>
                <w:color w:val="000000"/>
                <w:sz w:val="20"/>
                <w:szCs w:val="20"/>
                <w:lang w:val="en-US" w:eastAsia="it-IT"/>
              </w:rPr>
            </w:pPr>
            <w:r w:rsidRPr="00563523">
              <w:rPr>
                <w:rFonts w:ascii="Calibri" w:eastAsia="Times New Roman" w:hAnsi="Calibri" w:cs="Calibri"/>
                <w:color w:val="000000"/>
                <w:kern w:val="0"/>
                <w:sz w:val="20"/>
                <w:szCs w:val="20"/>
                <w:lang w:val="en-US" w:eastAsia="it-IT"/>
                <w14:ligatures w14:val="none"/>
              </w:rPr>
              <w:t>18-80</w:t>
            </w:r>
          </w:p>
        </w:tc>
        <w:tc>
          <w:tcPr>
            <w:tcW w:w="1843" w:type="dxa"/>
            <w:vAlign w:val="center"/>
          </w:tcPr>
          <w:p w14:paraId="6A4738BC" w14:textId="77777777" w:rsidR="00E0319A" w:rsidRPr="002C5F4C" w:rsidRDefault="00E0319A" w:rsidP="00E0319A">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14</w:t>
            </w:r>
          </w:p>
        </w:tc>
        <w:tc>
          <w:tcPr>
            <w:tcW w:w="3118" w:type="dxa"/>
            <w:vAlign w:val="center"/>
          </w:tcPr>
          <w:p w14:paraId="49588540" w14:textId="77777777" w:rsidR="00E0319A" w:rsidRPr="002C5F4C" w:rsidRDefault="00E0319A" w:rsidP="00E0158D">
            <w:pPr>
              <w:spacing w:after="0" w:line="240" w:lineRule="auto"/>
              <w:jc w:val="both"/>
              <w:rPr>
                <w:rFonts w:eastAsia="Times New Roman" w:cstheme="minorHAnsi"/>
                <w:color w:val="000000"/>
                <w:sz w:val="20"/>
                <w:szCs w:val="20"/>
                <w:lang w:val="en-US" w:eastAsia="it-IT"/>
              </w:rPr>
            </w:pPr>
            <w:r w:rsidRPr="002C5F4C">
              <w:rPr>
                <w:rFonts w:eastAsia="Times New Roman" w:cstheme="minorHAnsi"/>
                <w:color w:val="000000"/>
                <w:sz w:val="20"/>
                <w:szCs w:val="20"/>
                <w:lang w:val="en-US" w:eastAsia="it-IT"/>
              </w:rPr>
              <w:t>Proportion of patients with a reduction of 3 points in the total score of the QMG scale</w:t>
            </w:r>
          </w:p>
        </w:tc>
        <w:tc>
          <w:tcPr>
            <w:tcW w:w="3969" w:type="dxa"/>
            <w:shd w:val="clear" w:color="auto" w:fill="auto"/>
            <w:noWrap/>
            <w:vAlign w:val="center"/>
          </w:tcPr>
          <w:p w14:paraId="63FCB2E0" w14:textId="77777777" w:rsidR="00E0319A" w:rsidRPr="00345482" w:rsidRDefault="00E0319A" w:rsidP="00E0319A">
            <w:pPr>
              <w:spacing w:after="0" w:line="240" w:lineRule="auto"/>
              <w:jc w:val="both"/>
              <w:rPr>
                <w:rFonts w:eastAsia="Times New Roman" w:cstheme="minorHAnsi"/>
                <w:color w:val="000000"/>
                <w:sz w:val="20"/>
                <w:szCs w:val="20"/>
                <w:lang w:val="en-US" w:eastAsia="it-IT"/>
              </w:rPr>
            </w:pPr>
            <w:r>
              <w:rPr>
                <w:rFonts w:eastAsia="Times New Roman" w:cstheme="minorHAnsi"/>
                <w:color w:val="000000"/>
                <w:sz w:val="20"/>
                <w:szCs w:val="20"/>
                <w:lang w:val="en-US" w:eastAsia="it-IT"/>
              </w:rPr>
              <w:t>86%</w:t>
            </w:r>
            <w:r w:rsidRPr="00631FC0">
              <w:rPr>
                <w:rFonts w:eastAsia="Times New Roman" w:cstheme="minorHAnsi"/>
                <w:color w:val="000000"/>
                <w:sz w:val="20"/>
                <w:szCs w:val="20"/>
                <w:lang w:val="en-US" w:eastAsia="it-IT"/>
              </w:rPr>
              <w:t xml:space="preserve"> of patients treated with eculizumab for 16 weeks</w:t>
            </w:r>
            <w:r>
              <w:rPr>
                <w:rFonts w:eastAsia="Times New Roman" w:cstheme="minorHAnsi"/>
                <w:color w:val="000000"/>
                <w:sz w:val="20"/>
                <w:szCs w:val="20"/>
                <w:lang w:val="en-US" w:eastAsia="it-IT"/>
              </w:rPr>
              <w:t xml:space="preserve"> </w:t>
            </w:r>
            <w:r w:rsidRPr="00631FC0">
              <w:rPr>
                <w:rFonts w:eastAsia="Times New Roman" w:cstheme="minorHAnsi"/>
                <w:color w:val="000000"/>
                <w:sz w:val="20"/>
                <w:szCs w:val="20"/>
                <w:lang w:val="en-US" w:eastAsia="it-IT"/>
              </w:rPr>
              <w:t>achieved a 3-point reduction in the</w:t>
            </w:r>
            <w:r>
              <w:rPr>
                <w:rFonts w:eastAsia="Times New Roman" w:cstheme="minorHAnsi"/>
                <w:color w:val="000000"/>
                <w:sz w:val="20"/>
                <w:szCs w:val="20"/>
                <w:lang w:val="en-US" w:eastAsia="it-IT"/>
              </w:rPr>
              <w:t xml:space="preserve"> </w:t>
            </w:r>
            <w:r w:rsidRPr="00631FC0">
              <w:rPr>
                <w:rFonts w:eastAsia="Times New Roman" w:cstheme="minorHAnsi"/>
                <w:color w:val="000000"/>
                <w:sz w:val="20"/>
                <w:szCs w:val="20"/>
                <w:lang w:val="en-US" w:eastAsia="it-IT"/>
              </w:rPr>
              <w:t>QMG</w:t>
            </w:r>
            <w:r>
              <w:rPr>
                <w:rFonts w:eastAsia="Times New Roman" w:cstheme="minorHAnsi"/>
                <w:color w:val="000000"/>
                <w:sz w:val="20"/>
                <w:szCs w:val="20"/>
                <w:lang w:val="en-US" w:eastAsia="it-IT"/>
              </w:rPr>
              <w:t xml:space="preserve"> </w:t>
            </w:r>
            <w:r w:rsidRPr="00631FC0">
              <w:rPr>
                <w:rFonts w:eastAsia="Times New Roman" w:cstheme="minorHAnsi"/>
                <w:color w:val="000000"/>
                <w:sz w:val="20"/>
                <w:szCs w:val="20"/>
                <w:lang w:val="en-US" w:eastAsia="it-IT"/>
              </w:rPr>
              <w:t xml:space="preserve">score. </w:t>
            </w:r>
            <w:r>
              <w:rPr>
                <w:rFonts w:eastAsia="Times New Roman" w:cstheme="minorHAnsi"/>
                <w:color w:val="000000"/>
                <w:sz w:val="20"/>
                <w:szCs w:val="20"/>
                <w:lang w:val="en-US" w:eastAsia="it-IT"/>
              </w:rPr>
              <w:t>T</w:t>
            </w:r>
            <w:r w:rsidRPr="00631FC0">
              <w:rPr>
                <w:rFonts w:eastAsia="Times New Roman" w:cstheme="minorHAnsi"/>
                <w:color w:val="000000"/>
                <w:sz w:val="20"/>
                <w:szCs w:val="20"/>
                <w:lang w:val="en-US" w:eastAsia="it-IT"/>
              </w:rPr>
              <w:t xml:space="preserve">he </w:t>
            </w:r>
            <w:r>
              <w:rPr>
                <w:rFonts w:eastAsia="Times New Roman" w:cstheme="minorHAnsi"/>
                <w:color w:val="000000"/>
                <w:sz w:val="20"/>
                <w:szCs w:val="20"/>
                <w:lang w:val="en-US" w:eastAsia="it-IT"/>
              </w:rPr>
              <w:t>total</w:t>
            </w:r>
            <w:r w:rsidRPr="00631FC0">
              <w:rPr>
                <w:rFonts w:eastAsia="Times New Roman" w:cstheme="minorHAnsi"/>
                <w:color w:val="000000"/>
                <w:sz w:val="20"/>
                <w:szCs w:val="20"/>
                <w:lang w:val="en-US" w:eastAsia="it-IT"/>
              </w:rPr>
              <w:t xml:space="preserve"> change in mean QMG total score was significantly different between eculizumab and placebo (P = 0.0144)</w:t>
            </w:r>
            <w:r>
              <w:rPr>
                <w:rFonts w:eastAsia="Times New Roman" w:cstheme="minorHAnsi"/>
                <w:color w:val="000000"/>
                <w:sz w:val="20"/>
                <w:szCs w:val="20"/>
                <w:lang w:val="en-US" w:eastAsia="it-IT"/>
              </w:rPr>
              <w:t>.</w:t>
            </w:r>
            <w:r w:rsidRPr="00631FC0">
              <w:rPr>
                <w:rFonts w:eastAsia="Times New Roman" w:cstheme="minorHAnsi"/>
                <w:color w:val="000000"/>
                <w:sz w:val="20"/>
                <w:szCs w:val="20"/>
                <w:lang w:val="en-US" w:eastAsia="it-IT"/>
              </w:rPr>
              <w:t xml:space="preserve"> Eculizumab was well tolerated.</w:t>
            </w:r>
          </w:p>
        </w:tc>
        <w:tc>
          <w:tcPr>
            <w:tcW w:w="1276" w:type="dxa"/>
            <w:shd w:val="clear" w:color="auto" w:fill="auto"/>
            <w:noWrap/>
            <w:vAlign w:val="center"/>
          </w:tcPr>
          <w:p w14:paraId="70673847" w14:textId="77777777" w:rsidR="00E0319A" w:rsidRPr="002C5F4C" w:rsidRDefault="00E0319A" w:rsidP="00E0158D">
            <w:pPr>
              <w:spacing w:after="0" w:line="240" w:lineRule="auto"/>
              <w:jc w:val="both"/>
              <w:rPr>
                <w:rFonts w:ascii="Calibri" w:eastAsia="Times New Roman" w:hAnsi="Calibri" w:cs="Calibri"/>
                <w:color w:val="000000"/>
                <w:kern w:val="0"/>
                <w:sz w:val="20"/>
                <w:szCs w:val="20"/>
                <w:lang w:val="en-US" w:eastAsia="it-IT"/>
                <w14:ligatures w14:val="none"/>
              </w:rPr>
            </w:pPr>
            <w:proofErr w:type="spellStart"/>
            <w:r w:rsidRPr="002C5F4C">
              <w:rPr>
                <w:sz w:val="20"/>
                <w:szCs w:val="20"/>
              </w:rPr>
              <w:t>Completed</w:t>
            </w:r>
            <w:proofErr w:type="spellEnd"/>
          </w:p>
        </w:tc>
      </w:tr>
      <w:tr w:rsidR="00E0319A" w:rsidRPr="008D6439" w14:paraId="144EB5DE" w14:textId="77777777" w:rsidTr="00E0319A">
        <w:trPr>
          <w:trHeight w:val="285"/>
        </w:trPr>
        <w:tc>
          <w:tcPr>
            <w:tcW w:w="2269" w:type="dxa"/>
            <w:shd w:val="clear" w:color="auto" w:fill="auto"/>
            <w:noWrap/>
            <w:vAlign w:val="center"/>
          </w:tcPr>
          <w:p w14:paraId="3130650A" w14:textId="700E402E" w:rsidR="00E0319A" w:rsidRPr="00563523" w:rsidRDefault="00E0319A" w:rsidP="00E0158D">
            <w:pPr>
              <w:spacing w:after="0" w:line="240" w:lineRule="auto"/>
              <w:jc w:val="both"/>
              <w:rPr>
                <w:rFonts w:eastAsia="Times New Roman" w:cstheme="minorHAnsi"/>
                <w:color w:val="000000"/>
                <w:sz w:val="20"/>
                <w:szCs w:val="20"/>
                <w:lang w:val="en-GB" w:eastAsia="it-IT"/>
              </w:rPr>
            </w:pPr>
            <w:r w:rsidRPr="00563523">
              <w:rPr>
                <w:rFonts w:ascii="Calibri" w:hAnsi="Calibri" w:cs="Calibri"/>
                <w:color w:val="000000"/>
                <w:sz w:val="20"/>
                <w:szCs w:val="20"/>
                <w:lang w:val="en-US"/>
              </w:rPr>
              <w:t>NCT02965573</w:t>
            </w:r>
            <w:r w:rsidR="00EF460A">
              <w:rPr>
                <w:rFonts w:ascii="Calibri" w:hAnsi="Calibri" w:cs="Calibri"/>
                <w:color w:val="000000"/>
                <w:sz w:val="20"/>
                <w:szCs w:val="20"/>
                <w:lang w:val="en-US"/>
              </w:rPr>
              <w:t xml:space="preserve"> [100]</w:t>
            </w:r>
          </w:p>
        </w:tc>
        <w:tc>
          <w:tcPr>
            <w:tcW w:w="764" w:type="dxa"/>
            <w:vAlign w:val="center"/>
          </w:tcPr>
          <w:p w14:paraId="28A0FC50" w14:textId="77777777" w:rsidR="00E0319A" w:rsidRPr="00563523" w:rsidRDefault="00E0319A" w:rsidP="00E0158D">
            <w:pPr>
              <w:spacing w:after="0" w:line="240" w:lineRule="auto"/>
              <w:rPr>
                <w:sz w:val="20"/>
                <w:szCs w:val="20"/>
              </w:rPr>
            </w:pPr>
            <w:r w:rsidRPr="00563523">
              <w:rPr>
                <w:sz w:val="20"/>
                <w:szCs w:val="20"/>
              </w:rPr>
              <w:t>II</w:t>
            </w:r>
          </w:p>
        </w:tc>
        <w:tc>
          <w:tcPr>
            <w:tcW w:w="1498" w:type="dxa"/>
            <w:shd w:val="clear" w:color="auto" w:fill="auto"/>
            <w:noWrap/>
            <w:vAlign w:val="center"/>
          </w:tcPr>
          <w:p w14:paraId="42FC4E12" w14:textId="77777777" w:rsidR="00E0319A" w:rsidRPr="00563523" w:rsidRDefault="00E0319A" w:rsidP="00E0158D">
            <w:pPr>
              <w:spacing w:after="0" w:line="240" w:lineRule="auto"/>
              <w:rPr>
                <w:rFonts w:ascii="Calibri" w:eastAsia="Times New Roman" w:hAnsi="Calibri" w:cs="Calibri"/>
                <w:color w:val="000000"/>
                <w:kern w:val="0"/>
                <w:sz w:val="20"/>
                <w:szCs w:val="20"/>
                <w:lang w:val="en-US" w:eastAsia="it-IT"/>
                <w14:ligatures w14:val="none"/>
              </w:rPr>
            </w:pPr>
            <w:proofErr w:type="spellStart"/>
            <w:r w:rsidRPr="00563523">
              <w:rPr>
                <w:sz w:val="20"/>
                <w:szCs w:val="20"/>
              </w:rPr>
              <w:t>Efgartigimod</w:t>
            </w:r>
            <w:proofErr w:type="spellEnd"/>
          </w:p>
        </w:tc>
        <w:tc>
          <w:tcPr>
            <w:tcW w:w="1707" w:type="dxa"/>
            <w:shd w:val="clear" w:color="auto" w:fill="auto"/>
            <w:noWrap/>
            <w:vAlign w:val="center"/>
          </w:tcPr>
          <w:p w14:paraId="644BED8A" w14:textId="600743D3" w:rsidR="00E0319A" w:rsidRPr="00563523" w:rsidRDefault="00E0319A" w:rsidP="00E0158D">
            <w:pPr>
              <w:spacing w:after="0" w:line="240" w:lineRule="auto"/>
              <w:rPr>
                <w:rFonts w:eastAsia="Times New Roman" w:cstheme="minorHAnsi"/>
                <w:color w:val="000000"/>
                <w:sz w:val="20"/>
                <w:szCs w:val="20"/>
                <w:lang w:val="en-US" w:eastAsia="it-IT"/>
              </w:rPr>
            </w:pPr>
            <w:r w:rsidRPr="00563523">
              <w:rPr>
                <w:rFonts w:ascii="Calibri" w:eastAsia="Times New Roman" w:hAnsi="Calibri" w:cs="Calibri"/>
                <w:color w:val="000000"/>
                <w:kern w:val="0"/>
                <w:sz w:val="20"/>
                <w:szCs w:val="20"/>
                <w:lang w:val="en-US" w:eastAsia="it-IT"/>
                <w14:ligatures w14:val="none"/>
              </w:rPr>
              <w:t>≥ 18</w:t>
            </w:r>
          </w:p>
        </w:tc>
        <w:tc>
          <w:tcPr>
            <w:tcW w:w="1843" w:type="dxa"/>
            <w:vAlign w:val="center"/>
          </w:tcPr>
          <w:p w14:paraId="4FE4C1A4" w14:textId="77777777" w:rsidR="00E0319A" w:rsidRPr="002C5F4C" w:rsidRDefault="00E0319A" w:rsidP="00E0319A">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23</w:t>
            </w:r>
          </w:p>
        </w:tc>
        <w:tc>
          <w:tcPr>
            <w:tcW w:w="3118" w:type="dxa"/>
            <w:vAlign w:val="center"/>
          </w:tcPr>
          <w:p w14:paraId="15E589BF" w14:textId="77777777" w:rsidR="00E0319A" w:rsidRPr="002C5F4C" w:rsidRDefault="00E0319A" w:rsidP="00E0158D">
            <w:pPr>
              <w:spacing w:after="0" w:line="240" w:lineRule="auto"/>
              <w:jc w:val="both"/>
              <w:rPr>
                <w:rFonts w:eastAsia="Times New Roman" w:cstheme="minorHAnsi"/>
                <w:color w:val="000000"/>
                <w:sz w:val="20"/>
                <w:szCs w:val="20"/>
                <w:lang w:val="en-US" w:eastAsia="it-IT"/>
              </w:rPr>
            </w:pPr>
            <w:r w:rsidRPr="002C5F4C">
              <w:rPr>
                <w:rFonts w:eastAsia="Times New Roman" w:cstheme="minorHAnsi"/>
                <w:color w:val="000000"/>
                <w:sz w:val="20"/>
                <w:szCs w:val="20"/>
                <w:lang w:val="en-US" w:eastAsia="it-IT"/>
              </w:rPr>
              <w:t>Evaluation of the incidence and severity of adverse events and the variation in vital signs from baseline to day 78</w:t>
            </w:r>
          </w:p>
        </w:tc>
        <w:tc>
          <w:tcPr>
            <w:tcW w:w="3969" w:type="dxa"/>
            <w:shd w:val="clear" w:color="auto" w:fill="auto"/>
            <w:noWrap/>
            <w:vAlign w:val="center"/>
          </w:tcPr>
          <w:p w14:paraId="21E21DB6" w14:textId="01780003" w:rsidR="00E0319A" w:rsidRPr="00345482" w:rsidRDefault="00EF460A" w:rsidP="00E0319A">
            <w:pPr>
              <w:spacing w:after="0" w:line="240" w:lineRule="auto"/>
              <w:jc w:val="both"/>
              <w:rPr>
                <w:rFonts w:eastAsia="Times New Roman" w:cstheme="minorHAnsi"/>
                <w:color w:val="000000"/>
                <w:sz w:val="20"/>
                <w:szCs w:val="20"/>
                <w:lang w:val="en-US" w:eastAsia="it-IT"/>
              </w:rPr>
            </w:pPr>
            <w:r>
              <w:rPr>
                <w:rFonts w:eastAsia="Times New Roman" w:cstheme="minorHAnsi"/>
                <w:color w:val="000000"/>
                <w:sz w:val="20"/>
                <w:szCs w:val="20"/>
                <w:lang w:val="en-US" w:eastAsia="it-IT"/>
              </w:rPr>
              <w:t>The p</w:t>
            </w:r>
            <w:r w:rsidR="00E0319A">
              <w:rPr>
                <w:rFonts w:eastAsia="Times New Roman" w:cstheme="minorHAnsi"/>
                <w:color w:val="000000"/>
                <w:sz w:val="20"/>
                <w:szCs w:val="20"/>
                <w:lang w:val="en-US" w:eastAsia="it-IT"/>
              </w:rPr>
              <w:t>roportion of patients with a</w:t>
            </w:r>
            <w:r w:rsidR="00E0319A" w:rsidRPr="002754C9">
              <w:rPr>
                <w:rFonts w:eastAsia="Times New Roman" w:cstheme="minorHAnsi"/>
                <w:color w:val="000000"/>
                <w:sz w:val="20"/>
                <w:szCs w:val="20"/>
                <w:lang w:val="en-US" w:eastAsia="it-IT"/>
              </w:rPr>
              <w:t xml:space="preserve">t least 1 treatment-related </w:t>
            </w:r>
            <w:r w:rsidR="00E0319A">
              <w:rPr>
                <w:rFonts w:eastAsia="Times New Roman" w:cstheme="minorHAnsi"/>
                <w:color w:val="000000"/>
                <w:sz w:val="20"/>
                <w:szCs w:val="20"/>
                <w:lang w:val="en-US" w:eastAsia="it-IT"/>
              </w:rPr>
              <w:t>adverse event from day 1 to day 78</w:t>
            </w:r>
            <w:r>
              <w:rPr>
                <w:rFonts w:eastAsia="Times New Roman" w:cstheme="minorHAnsi"/>
                <w:color w:val="000000"/>
                <w:sz w:val="20"/>
                <w:szCs w:val="20"/>
                <w:lang w:val="en-US" w:eastAsia="it-IT"/>
              </w:rPr>
              <w:t xml:space="preserve"> was equal to (6.7%) (</w:t>
            </w:r>
            <w:r w:rsidR="00E0319A" w:rsidRPr="002754C9">
              <w:rPr>
                <w:rFonts w:eastAsia="Times New Roman" w:cstheme="minorHAnsi"/>
                <w:color w:val="000000"/>
                <w:sz w:val="20"/>
                <w:szCs w:val="20"/>
                <w:lang w:val="en-US" w:eastAsia="it-IT"/>
              </w:rPr>
              <w:t>86</w:t>
            </w:r>
            <w:r>
              <w:rPr>
                <w:rFonts w:eastAsia="Times New Roman" w:cstheme="minorHAnsi"/>
                <w:color w:val="000000"/>
                <w:sz w:val="20"/>
                <w:szCs w:val="20"/>
                <w:lang w:val="en-US" w:eastAsia="it-IT"/>
              </w:rPr>
              <w:t xml:space="preserve"> patients</w:t>
            </w:r>
            <w:r w:rsidR="00E0319A">
              <w:rPr>
                <w:rFonts w:eastAsia="Times New Roman" w:cstheme="minorHAnsi"/>
                <w:color w:val="000000"/>
                <w:sz w:val="20"/>
                <w:szCs w:val="20"/>
                <w:lang w:val="en-US" w:eastAsia="it-IT"/>
              </w:rPr>
              <w:t xml:space="preserve">) for efgartigimod vs </w:t>
            </w:r>
            <w:r w:rsidRPr="002754C9">
              <w:rPr>
                <w:rFonts w:eastAsia="Times New Roman" w:cstheme="minorHAnsi"/>
                <w:color w:val="000000"/>
                <w:sz w:val="20"/>
                <w:szCs w:val="20"/>
                <w:lang w:val="en-US" w:eastAsia="it-IT"/>
              </w:rPr>
              <w:t>5.0%</w:t>
            </w:r>
            <w:r w:rsidR="00E0319A">
              <w:rPr>
                <w:rFonts w:eastAsia="Times New Roman" w:cstheme="minorHAnsi"/>
                <w:color w:val="000000"/>
                <w:sz w:val="20"/>
                <w:szCs w:val="20"/>
                <w:lang w:val="en-US" w:eastAsia="it-IT"/>
              </w:rPr>
              <w:t xml:space="preserve"> (</w:t>
            </w:r>
            <w:r w:rsidRPr="002754C9">
              <w:rPr>
                <w:rFonts w:eastAsia="Times New Roman" w:cstheme="minorHAnsi"/>
                <w:color w:val="000000"/>
                <w:sz w:val="20"/>
                <w:szCs w:val="20"/>
                <w:lang w:val="en-US" w:eastAsia="it-IT"/>
              </w:rPr>
              <w:t>32</w:t>
            </w:r>
            <w:r>
              <w:rPr>
                <w:rFonts w:eastAsia="Times New Roman" w:cstheme="minorHAnsi"/>
                <w:color w:val="000000"/>
                <w:sz w:val="20"/>
                <w:szCs w:val="20"/>
                <w:lang w:val="en-US" w:eastAsia="it-IT"/>
              </w:rPr>
              <w:t xml:space="preserve"> patients</w:t>
            </w:r>
            <w:r w:rsidR="00E0319A">
              <w:rPr>
                <w:rFonts w:eastAsia="Times New Roman" w:cstheme="minorHAnsi"/>
                <w:color w:val="000000"/>
                <w:sz w:val="20"/>
                <w:szCs w:val="20"/>
                <w:lang w:val="en-US" w:eastAsia="it-IT"/>
              </w:rPr>
              <w:t>) for placebo.</w:t>
            </w:r>
          </w:p>
        </w:tc>
        <w:tc>
          <w:tcPr>
            <w:tcW w:w="1276" w:type="dxa"/>
            <w:shd w:val="clear" w:color="auto" w:fill="auto"/>
            <w:noWrap/>
            <w:vAlign w:val="center"/>
          </w:tcPr>
          <w:p w14:paraId="7A9A80DE" w14:textId="77777777" w:rsidR="00E0319A" w:rsidRPr="002C5F4C" w:rsidRDefault="00E0319A" w:rsidP="00E0158D">
            <w:pPr>
              <w:spacing w:after="0" w:line="240" w:lineRule="auto"/>
              <w:jc w:val="both"/>
              <w:rPr>
                <w:rFonts w:eastAsia="Times New Roman" w:cstheme="minorHAnsi"/>
                <w:color w:val="000000"/>
                <w:sz w:val="20"/>
                <w:szCs w:val="20"/>
                <w:highlight w:val="yellow"/>
                <w:lang w:val="en-US" w:eastAsia="it-IT"/>
              </w:rPr>
            </w:pPr>
            <w:proofErr w:type="spellStart"/>
            <w:r w:rsidRPr="002C5F4C">
              <w:rPr>
                <w:sz w:val="20"/>
                <w:szCs w:val="20"/>
              </w:rPr>
              <w:t>Completed</w:t>
            </w:r>
            <w:proofErr w:type="spellEnd"/>
          </w:p>
        </w:tc>
      </w:tr>
      <w:tr w:rsidR="00E0319A" w:rsidRPr="008D6439" w14:paraId="14F909D7" w14:textId="77777777" w:rsidTr="00E0319A">
        <w:trPr>
          <w:trHeight w:val="285"/>
        </w:trPr>
        <w:tc>
          <w:tcPr>
            <w:tcW w:w="2269" w:type="dxa"/>
            <w:shd w:val="clear" w:color="auto" w:fill="auto"/>
            <w:noWrap/>
            <w:vAlign w:val="center"/>
          </w:tcPr>
          <w:p w14:paraId="2AA3CACF" w14:textId="04259BDE" w:rsidR="00E0319A" w:rsidRPr="00563523" w:rsidRDefault="00E0319A" w:rsidP="00E0158D">
            <w:pPr>
              <w:spacing w:after="0" w:line="240" w:lineRule="auto"/>
              <w:jc w:val="both"/>
              <w:rPr>
                <w:rFonts w:eastAsia="Times New Roman" w:cstheme="minorHAnsi"/>
                <w:color w:val="000000"/>
                <w:sz w:val="20"/>
                <w:szCs w:val="20"/>
                <w:lang w:val="en-GB" w:eastAsia="it-IT"/>
              </w:rPr>
            </w:pPr>
            <w:r w:rsidRPr="00563523">
              <w:rPr>
                <w:rFonts w:ascii="Calibri" w:hAnsi="Calibri" w:cs="Calibri"/>
                <w:color w:val="000000"/>
                <w:sz w:val="20"/>
                <w:szCs w:val="20"/>
                <w:lang w:val="en-US"/>
              </w:rPr>
              <w:t>NCT03770403</w:t>
            </w:r>
            <w:r w:rsidR="00EF460A">
              <w:rPr>
                <w:rFonts w:ascii="Calibri" w:hAnsi="Calibri" w:cs="Calibri"/>
                <w:color w:val="000000"/>
                <w:sz w:val="20"/>
                <w:szCs w:val="20"/>
                <w:lang w:val="en-US"/>
              </w:rPr>
              <w:t xml:space="preserve"> [101]</w:t>
            </w:r>
          </w:p>
        </w:tc>
        <w:tc>
          <w:tcPr>
            <w:tcW w:w="764" w:type="dxa"/>
            <w:vAlign w:val="center"/>
          </w:tcPr>
          <w:p w14:paraId="68A833C6" w14:textId="77777777" w:rsidR="00E0319A" w:rsidRPr="00563523" w:rsidRDefault="00E0319A" w:rsidP="00E0158D">
            <w:pPr>
              <w:spacing w:after="0" w:line="240" w:lineRule="auto"/>
              <w:rPr>
                <w:sz w:val="20"/>
                <w:szCs w:val="20"/>
              </w:rPr>
            </w:pPr>
            <w:r w:rsidRPr="00563523">
              <w:rPr>
                <w:sz w:val="20"/>
                <w:szCs w:val="20"/>
              </w:rPr>
              <w:t>III</w:t>
            </w:r>
          </w:p>
        </w:tc>
        <w:tc>
          <w:tcPr>
            <w:tcW w:w="1498" w:type="dxa"/>
            <w:shd w:val="clear" w:color="auto" w:fill="auto"/>
            <w:noWrap/>
            <w:vAlign w:val="center"/>
          </w:tcPr>
          <w:p w14:paraId="17D72533" w14:textId="77777777" w:rsidR="00E0319A" w:rsidRPr="00563523" w:rsidRDefault="00E0319A" w:rsidP="00E0158D">
            <w:pPr>
              <w:spacing w:after="0" w:line="240" w:lineRule="auto"/>
              <w:rPr>
                <w:rFonts w:ascii="Calibri" w:eastAsia="Times New Roman" w:hAnsi="Calibri" w:cs="Calibri"/>
                <w:color w:val="000000"/>
                <w:kern w:val="0"/>
                <w:sz w:val="20"/>
                <w:szCs w:val="20"/>
                <w:lang w:val="en-US" w:eastAsia="it-IT"/>
                <w14:ligatures w14:val="none"/>
              </w:rPr>
            </w:pPr>
            <w:proofErr w:type="spellStart"/>
            <w:r w:rsidRPr="00563523">
              <w:rPr>
                <w:sz w:val="20"/>
                <w:szCs w:val="20"/>
              </w:rPr>
              <w:t>Efgartigimod</w:t>
            </w:r>
            <w:proofErr w:type="spellEnd"/>
          </w:p>
        </w:tc>
        <w:tc>
          <w:tcPr>
            <w:tcW w:w="1707" w:type="dxa"/>
            <w:shd w:val="clear" w:color="auto" w:fill="auto"/>
            <w:noWrap/>
            <w:vAlign w:val="center"/>
          </w:tcPr>
          <w:p w14:paraId="33BAC914" w14:textId="00EBCD81" w:rsidR="00E0319A" w:rsidRPr="00563523" w:rsidRDefault="00E0319A" w:rsidP="00E0158D">
            <w:pPr>
              <w:spacing w:after="0" w:line="240" w:lineRule="auto"/>
              <w:rPr>
                <w:rFonts w:eastAsia="Times New Roman" w:cstheme="minorHAnsi"/>
                <w:color w:val="000000"/>
                <w:sz w:val="20"/>
                <w:szCs w:val="20"/>
                <w:lang w:val="en-US" w:eastAsia="it-IT"/>
              </w:rPr>
            </w:pPr>
            <w:r w:rsidRPr="00563523">
              <w:rPr>
                <w:rFonts w:ascii="Calibri" w:eastAsia="Times New Roman" w:hAnsi="Calibri" w:cs="Calibri"/>
                <w:color w:val="000000"/>
                <w:kern w:val="0"/>
                <w:sz w:val="20"/>
                <w:szCs w:val="20"/>
                <w:lang w:val="en-US" w:eastAsia="it-IT"/>
                <w14:ligatures w14:val="none"/>
              </w:rPr>
              <w:t>≥ 18</w:t>
            </w:r>
          </w:p>
        </w:tc>
        <w:tc>
          <w:tcPr>
            <w:tcW w:w="1843" w:type="dxa"/>
            <w:vAlign w:val="center"/>
          </w:tcPr>
          <w:p w14:paraId="1FC0DCE8" w14:textId="77777777" w:rsidR="00E0319A" w:rsidRPr="002C5F4C" w:rsidRDefault="00E0319A" w:rsidP="00E0319A">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111</w:t>
            </w:r>
          </w:p>
        </w:tc>
        <w:tc>
          <w:tcPr>
            <w:tcW w:w="3118" w:type="dxa"/>
            <w:vAlign w:val="center"/>
          </w:tcPr>
          <w:p w14:paraId="44E7858D" w14:textId="77777777" w:rsidR="00E0319A" w:rsidRPr="002C5F4C" w:rsidRDefault="00E0319A" w:rsidP="00E0158D">
            <w:pPr>
              <w:spacing w:after="0" w:line="240" w:lineRule="auto"/>
              <w:jc w:val="both"/>
              <w:rPr>
                <w:rFonts w:eastAsia="Times New Roman" w:cstheme="minorHAnsi"/>
                <w:color w:val="000000"/>
                <w:sz w:val="20"/>
                <w:szCs w:val="20"/>
                <w:lang w:val="en-US" w:eastAsia="it-IT"/>
              </w:rPr>
            </w:pPr>
            <w:r w:rsidRPr="002C5F4C">
              <w:rPr>
                <w:rFonts w:eastAsia="Times New Roman" w:cstheme="minorHAnsi"/>
                <w:color w:val="000000"/>
                <w:sz w:val="20"/>
                <w:szCs w:val="20"/>
                <w:lang w:val="en-US" w:eastAsia="it-IT"/>
              </w:rPr>
              <w:t xml:space="preserve">Evaluation of the incidence of (serious) adverse events associated with treatment in patients positive for </w:t>
            </w:r>
            <w:proofErr w:type="spellStart"/>
            <w:r w:rsidRPr="002C5F4C">
              <w:rPr>
                <w:rFonts w:eastAsia="Times New Roman" w:cstheme="minorHAnsi"/>
                <w:color w:val="000000"/>
                <w:sz w:val="20"/>
                <w:szCs w:val="20"/>
                <w:lang w:val="en-US" w:eastAsia="it-IT"/>
              </w:rPr>
              <w:t>AChR</w:t>
            </w:r>
            <w:proofErr w:type="spellEnd"/>
            <w:r w:rsidRPr="002C5F4C">
              <w:rPr>
                <w:rFonts w:eastAsia="Times New Roman" w:cstheme="minorHAnsi"/>
                <w:color w:val="000000"/>
                <w:sz w:val="20"/>
                <w:szCs w:val="20"/>
                <w:lang w:val="en-US" w:eastAsia="it-IT"/>
              </w:rPr>
              <w:t xml:space="preserve"> antibodies</w:t>
            </w:r>
          </w:p>
        </w:tc>
        <w:tc>
          <w:tcPr>
            <w:tcW w:w="3969" w:type="dxa"/>
            <w:shd w:val="clear" w:color="auto" w:fill="auto"/>
            <w:noWrap/>
            <w:vAlign w:val="center"/>
          </w:tcPr>
          <w:p w14:paraId="00FB40D4" w14:textId="51487F5D" w:rsidR="00E0319A" w:rsidRPr="00345482" w:rsidRDefault="00E0319A" w:rsidP="00E0319A">
            <w:pPr>
              <w:spacing w:after="0" w:line="240" w:lineRule="auto"/>
              <w:jc w:val="both"/>
              <w:rPr>
                <w:rFonts w:eastAsia="Times New Roman" w:cstheme="minorHAnsi"/>
                <w:color w:val="000000"/>
                <w:sz w:val="20"/>
                <w:szCs w:val="20"/>
                <w:lang w:val="en-US" w:eastAsia="it-IT"/>
              </w:rPr>
            </w:pPr>
            <w:r>
              <w:rPr>
                <w:rFonts w:eastAsia="Times New Roman" w:cstheme="minorHAnsi"/>
                <w:color w:val="000000"/>
                <w:sz w:val="20"/>
                <w:szCs w:val="20"/>
                <w:lang w:val="en-US" w:eastAsia="it-IT"/>
              </w:rPr>
              <w:t>92 (82.9%)</w:t>
            </w:r>
            <w:r w:rsidR="00EF460A">
              <w:rPr>
                <w:rFonts w:eastAsia="Times New Roman" w:cstheme="minorHAnsi"/>
                <w:color w:val="000000"/>
                <w:sz w:val="20"/>
                <w:szCs w:val="20"/>
                <w:lang w:val="en-US" w:eastAsia="it-IT"/>
              </w:rPr>
              <w:t xml:space="preserve"> patients</w:t>
            </w:r>
            <w:r>
              <w:rPr>
                <w:rFonts w:eastAsia="Times New Roman" w:cstheme="minorHAnsi"/>
                <w:color w:val="000000"/>
                <w:sz w:val="20"/>
                <w:szCs w:val="20"/>
                <w:lang w:val="en-US" w:eastAsia="it-IT"/>
              </w:rPr>
              <w:t xml:space="preserve"> experienced at least 1 treatment-related adverse event from day 1 to the end of follow-up (approximately up to 3 years). The proportion of patients with treatment-emergent serious adverse events was 25.2% (28/111). Ten (9%) patients experienced treatment-related adverse events that led to efgartigimod discontinuation.</w:t>
            </w:r>
          </w:p>
        </w:tc>
        <w:tc>
          <w:tcPr>
            <w:tcW w:w="1276" w:type="dxa"/>
            <w:shd w:val="clear" w:color="auto" w:fill="auto"/>
            <w:noWrap/>
            <w:vAlign w:val="center"/>
          </w:tcPr>
          <w:p w14:paraId="41F2A6E2" w14:textId="77777777" w:rsidR="00E0319A" w:rsidRPr="002C5F4C" w:rsidRDefault="00E0319A" w:rsidP="00E0158D">
            <w:pPr>
              <w:spacing w:after="0" w:line="240" w:lineRule="auto"/>
              <w:jc w:val="both"/>
              <w:rPr>
                <w:rFonts w:eastAsia="Times New Roman" w:cstheme="minorHAnsi"/>
                <w:color w:val="000000"/>
                <w:sz w:val="20"/>
                <w:szCs w:val="20"/>
                <w:lang w:val="en-US" w:eastAsia="it-IT"/>
              </w:rPr>
            </w:pPr>
            <w:proofErr w:type="spellStart"/>
            <w:r w:rsidRPr="002C5F4C">
              <w:rPr>
                <w:sz w:val="20"/>
                <w:szCs w:val="20"/>
              </w:rPr>
              <w:t>Completed</w:t>
            </w:r>
            <w:proofErr w:type="spellEnd"/>
          </w:p>
        </w:tc>
      </w:tr>
      <w:tr w:rsidR="00E0319A" w:rsidRPr="008D6439" w14:paraId="7E861302" w14:textId="77777777" w:rsidTr="00E0319A">
        <w:trPr>
          <w:trHeight w:val="285"/>
        </w:trPr>
        <w:tc>
          <w:tcPr>
            <w:tcW w:w="2269" w:type="dxa"/>
            <w:shd w:val="clear" w:color="auto" w:fill="auto"/>
            <w:noWrap/>
            <w:vAlign w:val="center"/>
          </w:tcPr>
          <w:p w14:paraId="30FB44F7" w14:textId="483F12B8" w:rsidR="00E0319A" w:rsidRPr="00563523" w:rsidRDefault="00E0319A" w:rsidP="00E0158D">
            <w:pPr>
              <w:spacing w:after="0" w:line="240" w:lineRule="auto"/>
              <w:jc w:val="both"/>
              <w:rPr>
                <w:rFonts w:eastAsia="Times New Roman" w:cstheme="minorHAnsi"/>
                <w:color w:val="000000"/>
                <w:sz w:val="20"/>
                <w:szCs w:val="20"/>
                <w:lang w:val="en-GB" w:eastAsia="it-IT"/>
              </w:rPr>
            </w:pPr>
            <w:bookmarkStart w:id="13" w:name="_Hlk151997172"/>
            <w:r w:rsidRPr="00563523">
              <w:rPr>
                <w:rFonts w:ascii="Calibri" w:hAnsi="Calibri" w:cs="Calibri"/>
                <w:color w:val="000000"/>
                <w:sz w:val="20"/>
                <w:szCs w:val="20"/>
                <w:lang w:val="en-US"/>
              </w:rPr>
              <w:t>NCT05374590</w:t>
            </w:r>
            <w:r w:rsidR="0033027A">
              <w:rPr>
                <w:rFonts w:ascii="Calibri" w:hAnsi="Calibri" w:cs="Calibri"/>
                <w:color w:val="000000"/>
                <w:sz w:val="20"/>
                <w:szCs w:val="20"/>
                <w:lang w:val="en-US"/>
              </w:rPr>
              <w:t xml:space="preserve"> </w:t>
            </w:r>
            <w:bookmarkEnd w:id="13"/>
            <w:r w:rsidR="0033027A">
              <w:rPr>
                <w:rFonts w:ascii="Calibri" w:hAnsi="Calibri" w:cs="Calibri"/>
                <w:color w:val="000000"/>
                <w:sz w:val="20"/>
                <w:szCs w:val="20"/>
                <w:lang w:val="en-US"/>
              </w:rPr>
              <w:t>[102]</w:t>
            </w:r>
          </w:p>
        </w:tc>
        <w:tc>
          <w:tcPr>
            <w:tcW w:w="764" w:type="dxa"/>
            <w:vAlign w:val="center"/>
          </w:tcPr>
          <w:p w14:paraId="329172A0" w14:textId="77777777" w:rsidR="00E0319A" w:rsidRPr="00563523" w:rsidRDefault="00E0319A" w:rsidP="00E0158D">
            <w:pPr>
              <w:spacing w:after="0" w:line="240" w:lineRule="auto"/>
              <w:rPr>
                <w:sz w:val="20"/>
                <w:szCs w:val="20"/>
              </w:rPr>
            </w:pPr>
            <w:r w:rsidRPr="00563523">
              <w:rPr>
                <w:sz w:val="20"/>
                <w:szCs w:val="20"/>
              </w:rPr>
              <w:t>II/III</w:t>
            </w:r>
          </w:p>
        </w:tc>
        <w:tc>
          <w:tcPr>
            <w:tcW w:w="1498" w:type="dxa"/>
            <w:shd w:val="clear" w:color="auto" w:fill="auto"/>
            <w:noWrap/>
            <w:vAlign w:val="center"/>
          </w:tcPr>
          <w:p w14:paraId="10E73520" w14:textId="77777777" w:rsidR="00E0319A" w:rsidRPr="00563523" w:rsidRDefault="00E0319A" w:rsidP="00E0158D">
            <w:pPr>
              <w:spacing w:after="0" w:line="240" w:lineRule="auto"/>
              <w:rPr>
                <w:rFonts w:ascii="Calibri" w:eastAsia="Times New Roman" w:hAnsi="Calibri" w:cs="Calibri"/>
                <w:color w:val="000000"/>
                <w:kern w:val="0"/>
                <w:sz w:val="20"/>
                <w:szCs w:val="20"/>
                <w:lang w:val="en-US" w:eastAsia="it-IT"/>
                <w14:ligatures w14:val="none"/>
              </w:rPr>
            </w:pPr>
            <w:proofErr w:type="spellStart"/>
            <w:r w:rsidRPr="00563523">
              <w:rPr>
                <w:sz w:val="20"/>
                <w:szCs w:val="20"/>
              </w:rPr>
              <w:t>Efgartigimod</w:t>
            </w:r>
            <w:proofErr w:type="spellEnd"/>
          </w:p>
        </w:tc>
        <w:tc>
          <w:tcPr>
            <w:tcW w:w="1707" w:type="dxa"/>
            <w:shd w:val="clear" w:color="auto" w:fill="auto"/>
            <w:noWrap/>
            <w:vAlign w:val="center"/>
          </w:tcPr>
          <w:p w14:paraId="10EDCDAA" w14:textId="46AA597B" w:rsidR="00E0319A" w:rsidRPr="00563523" w:rsidRDefault="00E0319A" w:rsidP="00E0158D">
            <w:pPr>
              <w:spacing w:after="0" w:line="240" w:lineRule="auto"/>
              <w:rPr>
                <w:rFonts w:eastAsia="Times New Roman" w:cstheme="minorHAnsi"/>
                <w:color w:val="000000"/>
                <w:sz w:val="20"/>
                <w:szCs w:val="20"/>
                <w:lang w:val="en-US" w:eastAsia="it-IT"/>
              </w:rPr>
            </w:pPr>
            <w:r w:rsidRPr="00563523">
              <w:rPr>
                <w:rFonts w:ascii="Calibri" w:eastAsia="Times New Roman" w:hAnsi="Calibri" w:cs="Calibri"/>
                <w:color w:val="000000"/>
                <w:kern w:val="0"/>
                <w:sz w:val="20"/>
                <w:szCs w:val="20"/>
                <w:lang w:val="en-US" w:eastAsia="it-IT"/>
                <w14:ligatures w14:val="none"/>
              </w:rPr>
              <w:t>2-18</w:t>
            </w:r>
          </w:p>
        </w:tc>
        <w:tc>
          <w:tcPr>
            <w:tcW w:w="1843" w:type="dxa"/>
            <w:vAlign w:val="center"/>
          </w:tcPr>
          <w:p w14:paraId="0DF7BFB6" w14:textId="77777777" w:rsidR="00E0319A" w:rsidRPr="002C5F4C" w:rsidRDefault="00E0319A" w:rsidP="00E0319A">
            <w:pPr>
              <w:spacing w:after="0" w:line="240" w:lineRule="auto"/>
              <w:rPr>
                <w:rFonts w:eastAsia="Times New Roman" w:cstheme="minorHAnsi"/>
                <w:color w:val="000000"/>
                <w:sz w:val="20"/>
                <w:szCs w:val="20"/>
                <w:lang w:val="en-US" w:eastAsia="it-IT"/>
              </w:rPr>
            </w:pPr>
          </w:p>
        </w:tc>
        <w:tc>
          <w:tcPr>
            <w:tcW w:w="3118" w:type="dxa"/>
            <w:vAlign w:val="center"/>
          </w:tcPr>
          <w:p w14:paraId="7482717F" w14:textId="77777777" w:rsidR="00E0319A" w:rsidRPr="002C5F4C" w:rsidRDefault="00E0319A" w:rsidP="00E0158D">
            <w:pPr>
              <w:spacing w:after="0" w:line="240" w:lineRule="auto"/>
              <w:jc w:val="both"/>
              <w:rPr>
                <w:rFonts w:eastAsia="Times New Roman" w:cstheme="minorHAnsi"/>
                <w:color w:val="000000"/>
                <w:sz w:val="20"/>
                <w:szCs w:val="20"/>
                <w:lang w:val="en-US" w:eastAsia="it-IT"/>
              </w:rPr>
            </w:pPr>
            <w:r w:rsidRPr="002C5F4C">
              <w:rPr>
                <w:rFonts w:eastAsia="Times New Roman" w:cstheme="minorHAnsi"/>
                <w:color w:val="000000"/>
                <w:sz w:val="20"/>
                <w:szCs w:val="20"/>
                <w:lang w:val="en-US" w:eastAsia="it-IT"/>
              </w:rPr>
              <w:t>Incidence and severity of adverse events and assessment of changes in height and weight (follow-up: 4 years)</w:t>
            </w:r>
          </w:p>
        </w:tc>
        <w:tc>
          <w:tcPr>
            <w:tcW w:w="3969" w:type="dxa"/>
            <w:shd w:val="clear" w:color="auto" w:fill="auto"/>
            <w:noWrap/>
            <w:vAlign w:val="center"/>
          </w:tcPr>
          <w:p w14:paraId="4B4900CF" w14:textId="77777777" w:rsidR="00E0319A" w:rsidRPr="00345482" w:rsidRDefault="00E0319A" w:rsidP="00E0158D">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Not available</w:t>
            </w:r>
          </w:p>
        </w:tc>
        <w:tc>
          <w:tcPr>
            <w:tcW w:w="1276" w:type="dxa"/>
            <w:shd w:val="clear" w:color="auto" w:fill="auto"/>
            <w:noWrap/>
            <w:vAlign w:val="center"/>
          </w:tcPr>
          <w:p w14:paraId="4AB0DFCA" w14:textId="77777777" w:rsidR="00E0319A" w:rsidRPr="002C5F4C" w:rsidRDefault="00E0319A" w:rsidP="00E0158D">
            <w:pPr>
              <w:spacing w:after="0" w:line="240" w:lineRule="auto"/>
              <w:jc w:val="both"/>
              <w:rPr>
                <w:rFonts w:eastAsia="Times New Roman" w:cstheme="minorHAnsi"/>
                <w:color w:val="000000"/>
                <w:sz w:val="20"/>
                <w:szCs w:val="20"/>
                <w:lang w:val="en-US" w:eastAsia="it-IT"/>
              </w:rPr>
            </w:pPr>
            <w:proofErr w:type="spellStart"/>
            <w:r>
              <w:rPr>
                <w:sz w:val="20"/>
                <w:szCs w:val="20"/>
              </w:rPr>
              <w:t>Ongoing</w:t>
            </w:r>
            <w:proofErr w:type="spellEnd"/>
          </w:p>
        </w:tc>
      </w:tr>
      <w:tr w:rsidR="00E0319A" w:rsidRPr="008D6439" w14:paraId="44FB2B14" w14:textId="77777777" w:rsidTr="00E0319A">
        <w:trPr>
          <w:trHeight w:val="285"/>
        </w:trPr>
        <w:tc>
          <w:tcPr>
            <w:tcW w:w="2269" w:type="dxa"/>
            <w:shd w:val="clear" w:color="auto" w:fill="auto"/>
            <w:noWrap/>
            <w:vAlign w:val="center"/>
          </w:tcPr>
          <w:p w14:paraId="789430A1" w14:textId="604D01D6" w:rsidR="00E0319A" w:rsidRPr="00563523" w:rsidRDefault="00E0319A" w:rsidP="00E0158D">
            <w:pPr>
              <w:spacing w:after="0" w:line="240" w:lineRule="auto"/>
              <w:jc w:val="both"/>
              <w:rPr>
                <w:rFonts w:eastAsia="Times New Roman" w:cstheme="minorHAnsi"/>
                <w:color w:val="000000"/>
                <w:sz w:val="20"/>
                <w:szCs w:val="20"/>
                <w:lang w:val="en-GB" w:eastAsia="it-IT"/>
              </w:rPr>
            </w:pPr>
            <w:bookmarkStart w:id="14" w:name="_Hlk151997227"/>
            <w:r w:rsidRPr="00563523">
              <w:rPr>
                <w:rFonts w:ascii="Calibri" w:hAnsi="Calibri" w:cs="Calibri"/>
                <w:color w:val="000000"/>
                <w:sz w:val="20"/>
                <w:szCs w:val="20"/>
                <w:lang w:val="en-US"/>
              </w:rPr>
              <w:t>NCT04833894</w:t>
            </w:r>
            <w:r w:rsidR="0033027A">
              <w:rPr>
                <w:rFonts w:ascii="Calibri" w:hAnsi="Calibri" w:cs="Calibri"/>
                <w:color w:val="000000"/>
                <w:sz w:val="20"/>
                <w:szCs w:val="20"/>
                <w:lang w:val="en-US"/>
              </w:rPr>
              <w:t xml:space="preserve"> </w:t>
            </w:r>
            <w:bookmarkEnd w:id="14"/>
            <w:r w:rsidR="0033027A">
              <w:rPr>
                <w:rFonts w:ascii="Calibri" w:hAnsi="Calibri" w:cs="Calibri"/>
                <w:color w:val="000000"/>
                <w:sz w:val="20"/>
                <w:szCs w:val="20"/>
                <w:lang w:val="en-US"/>
              </w:rPr>
              <w:t>[103]</w:t>
            </w:r>
          </w:p>
        </w:tc>
        <w:tc>
          <w:tcPr>
            <w:tcW w:w="764" w:type="dxa"/>
            <w:vAlign w:val="center"/>
          </w:tcPr>
          <w:p w14:paraId="681A88E5" w14:textId="77777777" w:rsidR="00E0319A" w:rsidRPr="00563523" w:rsidRDefault="00E0319A" w:rsidP="00E0158D">
            <w:pPr>
              <w:spacing w:after="0" w:line="240" w:lineRule="auto"/>
              <w:rPr>
                <w:sz w:val="20"/>
                <w:szCs w:val="20"/>
              </w:rPr>
            </w:pPr>
            <w:r w:rsidRPr="00563523">
              <w:rPr>
                <w:sz w:val="20"/>
                <w:szCs w:val="20"/>
              </w:rPr>
              <w:t>II/III</w:t>
            </w:r>
          </w:p>
        </w:tc>
        <w:tc>
          <w:tcPr>
            <w:tcW w:w="1498" w:type="dxa"/>
            <w:shd w:val="clear" w:color="auto" w:fill="auto"/>
            <w:noWrap/>
            <w:vAlign w:val="center"/>
          </w:tcPr>
          <w:p w14:paraId="5D02B57F" w14:textId="77777777" w:rsidR="00E0319A" w:rsidRPr="00563523" w:rsidRDefault="00E0319A" w:rsidP="00E0158D">
            <w:pPr>
              <w:spacing w:after="0" w:line="240" w:lineRule="auto"/>
              <w:rPr>
                <w:rFonts w:ascii="Calibri" w:eastAsia="Times New Roman" w:hAnsi="Calibri" w:cs="Calibri"/>
                <w:color w:val="000000"/>
                <w:kern w:val="0"/>
                <w:sz w:val="20"/>
                <w:szCs w:val="20"/>
                <w:lang w:val="en-US" w:eastAsia="it-IT"/>
                <w14:ligatures w14:val="none"/>
              </w:rPr>
            </w:pPr>
            <w:proofErr w:type="spellStart"/>
            <w:r w:rsidRPr="00563523">
              <w:rPr>
                <w:sz w:val="20"/>
                <w:szCs w:val="20"/>
              </w:rPr>
              <w:t>Efgartigimod</w:t>
            </w:r>
            <w:proofErr w:type="spellEnd"/>
          </w:p>
        </w:tc>
        <w:tc>
          <w:tcPr>
            <w:tcW w:w="1707" w:type="dxa"/>
            <w:shd w:val="clear" w:color="auto" w:fill="auto"/>
            <w:noWrap/>
            <w:vAlign w:val="center"/>
          </w:tcPr>
          <w:p w14:paraId="4BF9B016" w14:textId="2F217E6D" w:rsidR="00E0319A" w:rsidRPr="00563523" w:rsidRDefault="00E0319A" w:rsidP="00E0158D">
            <w:pPr>
              <w:spacing w:after="0" w:line="240" w:lineRule="auto"/>
              <w:rPr>
                <w:rFonts w:eastAsia="Times New Roman" w:cstheme="minorHAnsi"/>
                <w:color w:val="000000"/>
                <w:sz w:val="20"/>
                <w:szCs w:val="20"/>
                <w:lang w:val="en-US" w:eastAsia="it-IT"/>
              </w:rPr>
            </w:pPr>
            <w:r w:rsidRPr="00563523">
              <w:rPr>
                <w:rFonts w:ascii="Calibri" w:eastAsia="Times New Roman" w:hAnsi="Calibri" w:cs="Calibri"/>
                <w:color w:val="000000"/>
                <w:kern w:val="0"/>
                <w:sz w:val="20"/>
                <w:szCs w:val="20"/>
                <w:lang w:val="en-US" w:eastAsia="it-IT"/>
                <w14:ligatures w14:val="none"/>
              </w:rPr>
              <w:t>2-18</w:t>
            </w:r>
          </w:p>
        </w:tc>
        <w:tc>
          <w:tcPr>
            <w:tcW w:w="1843" w:type="dxa"/>
            <w:vAlign w:val="center"/>
          </w:tcPr>
          <w:p w14:paraId="44E52BDC" w14:textId="77777777" w:rsidR="00E0319A" w:rsidRPr="002C5F4C" w:rsidRDefault="00E0319A" w:rsidP="00E0319A">
            <w:pPr>
              <w:spacing w:after="0" w:line="240" w:lineRule="auto"/>
              <w:rPr>
                <w:rFonts w:eastAsia="Times New Roman" w:cstheme="minorHAnsi"/>
                <w:color w:val="000000"/>
                <w:sz w:val="20"/>
                <w:szCs w:val="20"/>
                <w:lang w:val="en-US" w:eastAsia="it-IT"/>
              </w:rPr>
            </w:pPr>
          </w:p>
        </w:tc>
        <w:tc>
          <w:tcPr>
            <w:tcW w:w="3118" w:type="dxa"/>
            <w:vAlign w:val="center"/>
          </w:tcPr>
          <w:p w14:paraId="26D07808" w14:textId="77777777" w:rsidR="00E0319A" w:rsidRPr="002C5F4C" w:rsidRDefault="00E0319A" w:rsidP="00E0158D">
            <w:pPr>
              <w:spacing w:after="0" w:line="240" w:lineRule="auto"/>
              <w:jc w:val="both"/>
              <w:rPr>
                <w:rFonts w:ascii="Roboto" w:eastAsia="Times New Roman" w:hAnsi="Roboto" w:cs="Times New Roman"/>
                <w:color w:val="1B1B1B"/>
                <w:kern w:val="0"/>
                <w:sz w:val="20"/>
                <w:szCs w:val="20"/>
                <w:lang w:val="en-US" w:eastAsia="it-IT"/>
                <w14:ligatures w14:val="none"/>
              </w:rPr>
            </w:pPr>
            <w:r w:rsidRPr="002C5F4C">
              <w:rPr>
                <w:rFonts w:eastAsia="Times New Roman" w:cstheme="minorHAnsi"/>
                <w:color w:val="000000"/>
                <w:sz w:val="20"/>
                <w:szCs w:val="20"/>
                <w:lang w:val="en-US" w:eastAsia="it-IT"/>
              </w:rPr>
              <w:t>Evaluation of efgartigimod concentrations to determine clearance and volume of distribution</w:t>
            </w:r>
          </w:p>
        </w:tc>
        <w:tc>
          <w:tcPr>
            <w:tcW w:w="3969" w:type="dxa"/>
            <w:shd w:val="clear" w:color="auto" w:fill="auto"/>
            <w:noWrap/>
            <w:vAlign w:val="center"/>
          </w:tcPr>
          <w:p w14:paraId="26998DF8" w14:textId="77777777" w:rsidR="00E0319A" w:rsidRPr="00345482" w:rsidRDefault="00E0319A" w:rsidP="00E0158D">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Not available</w:t>
            </w:r>
          </w:p>
        </w:tc>
        <w:tc>
          <w:tcPr>
            <w:tcW w:w="1276" w:type="dxa"/>
            <w:shd w:val="clear" w:color="auto" w:fill="auto"/>
            <w:noWrap/>
            <w:vAlign w:val="center"/>
          </w:tcPr>
          <w:p w14:paraId="6BE82C5F" w14:textId="77777777" w:rsidR="00E0319A" w:rsidRPr="002C5F4C" w:rsidRDefault="00E0319A" w:rsidP="00E0158D">
            <w:pPr>
              <w:spacing w:after="0" w:line="240" w:lineRule="auto"/>
              <w:jc w:val="both"/>
              <w:rPr>
                <w:rFonts w:eastAsia="Times New Roman" w:cstheme="minorHAnsi"/>
                <w:color w:val="000000"/>
                <w:sz w:val="20"/>
                <w:szCs w:val="20"/>
                <w:lang w:val="en-US" w:eastAsia="it-IT"/>
              </w:rPr>
            </w:pPr>
            <w:proofErr w:type="spellStart"/>
            <w:r>
              <w:rPr>
                <w:sz w:val="20"/>
                <w:szCs w:val="20"/>
              </w:rPr>
              <w:t>Ongoing</w:t>
            </w:r>
            <w:proofErr w:type="spellEnd"/>
          </w:p>
        </w:tc>
      </w:tr>
      <w:tr w:rsidR="00E0319A" w:rsidRPr="008D6439" w14:paraId="27AB189E" w14:textId="77777777" w:rsidTr="00E0319A">
        <w:trPr>
          <w:trHeight w:val="285"/>
        </w:trPr>
        <w:tc>
          <w:tcPr>
            <w:tcW w:w="2269" w:type="dxa"/>
            <w:shd w:val="clear" w:color="auto" w:fill="auto"/>
            <w:noWrap/>
            <w:vAlign w:val="center"/>
          </w:tcPr>
          <w:p w14:paraId="72B06DC3" w14:textId="15D8C7B7" w:rsidR="00E0319A" w:rsidRPr="00563523" w:rsidRDefault="00E0319A" w:rsidP="00E0158D">
            <w:pPr>
              <w:spacing w:after="0" w:line="240" w:lineRule="auto"/>
              <w:jc w:val="both"/>
              <w:rPr>
                <w:rFonts w:eastAsia="Times New Roman" w:cstheme="minorHAnsi"/>
                <w:color w:val="000000"/>
                <w:sz w:val="20"/>
                <w:szCs w:val="20"/>
                <w:highlight w:val="yellow"/>
                <w:lang w:val="en-GB" w:eastAsia="it-IT"/>
              </w:rPr>
            </w:pPr>
            <w:bookmarkStart w:id="15" w:name="_Hlk151997284"/>
            <w:r w:rsidRPr="00563523">
              <w:rPr>
                <w:rFonts w:ascii="Calibri" w:hAnsi="Calibri" w:cs="Calibri"/>
                <w:color w:val="000000"/>
                <w:sz w:val="20"/>
                <w:szCs w:val="20"/>
                <w:lang w:val="en-US"/>
              </w:rPr>
              <w:lastRenderedPageBreak/>
              <w:t>NCT04818671</w:t>
            </w:r>
            <w:r w:rsidR="0033027A">
              <w:rPr>
                <w:rFonts w:ascii="Calibri" w:hAnsi="Calibri" w:cs="Calibri"/>
                <w:color w:val="000000"/>
                <w:sz w:val="20"/>
                <w:szCs w:val="20"/>
                <w:lang w:val="en-US"/>
              </w:rPr>
              <w:t xml:space="preserve"> </w:t>
            </w:r>
            <w:bookmarkEnd w:id="15"/>
            <w:r w:rsidR="0033027A">
              <w:rPr>
                <w:rFonts w:ascii="Calibri" w:hAnsi="Calibri" w:cs="Calibri"/>
                <w:color w:val="000000"/>
                <w:sz w:val="20"/>
                <w:szCs w:val="20"/>
                <w:lang w:val="en-US"/>
              </w:rPr>
              <w:t>[104]</w:t>
            </w:r>
          </w:p>
        </w:tc>
        <w:tc>
          <w:tcPr>
            <w:tcW w:w="764" w:type="dxa"/>
            <w:vAlign w:val="center"/>
          </w:tcPr>
          <w:p w14:paraId="756FC753" w14:textId="77777777" w:rsidR="00E0319A" w:rsidRPr="00563523" w:rsidRDefault="00E0319A" w:rsidP="00E0158D">
            <w:pPr>
              <w:spacing w:after="0" w:line="240" w:lineRule="auto"/>
              <w:rPr>
                <w:sz w:val="20"/>
                <w:szCs w:val="20"/>
              </w:rPr>
            </w:pPr>
            <w:r w:rsidRPr="00563523">
              <w:rPr>
                <w:sz w:val="20"/>
                <w:szCs w:val="20"/>
              </w:rPr>
              <w:t>III</w:t>
            </w:r>
          </w:p>
        </w:tc>
        <w:tc>
          <w:tcPr>
            <w:tcW w:w="1498" w:type="dxa"/>
            <w:shd w:val="clear" w:color="auto" w:fill="auto"/>
            <w:noWrap/>
            <w:vAlign w:val="center"/>
          </w:tcPr>
          <w:p w14:paraId="5C3EB429" w14:textId="77777777" w:rsidR="00E0319A" w:rsidRPr="00563523" w:rsidRDefault="00E0319A" w:rsidP="00E0158D">
            <w:pPr>
              <w:spacing w:after="0" w:line="240" w:lineRule="auto"/>
              <w:rPr>
                <w:rFonts w:ascii="Calibri" w:eastAsia="Times New Roman" w:hAnsi="Calibri" w:cs="Calibri"/>
                <w:color w:val="000000"/>
                <w:kern w:val="0"/>
                <w:sz w:val="20"/>
                <w:szCs w:val="20"/>
                <w:lang w:val="en-US" w:eastAsia="it-IT"/>
                <w14:ligatures w14:val="none"/>
              </w:rPr>
            </w:pPr>
            <w:proofErr w:type="spellStart"/>
            <w:r w:rsidRPr="00563523">
              <w:rPr>
                <w:sz w:val="20"/>
                <w:szCs w:val="20"/>
              </w:rPr>
              <w:t>Efgartigimod</w:t>
            </w:r>
            <w:proofErr w:type="spellEnd"/>
          </w:p>
        </w:tc>
        <w:tc>
          <w:tcPr>
            <w:tcW w:w="1707" w:type="dxa"/>
            <w:shd w:val="clear" w:color="auto" w:fill="auto"/>
            <w:noWrap/>
            <w:vAlign w:val="center"/>
          </w:tcPr>
          <w:p w14:paraId="6C927038" w14:textId="2EBB3889" w:rsidR="00E0319A" w:rsidRPr="00563523" w:rsidRDefault="00E0319A" w:rsidP="00E0158D">
            <w:pPr>
              <w:spacing w:after="0" w:line="240" w:lineRule="auto"/>
              <w:rPr>
                <w:rFonts w:eastAsia="Times New Roman" w:cstheme="minorHAnsi"/>
                <w:color w:val="000000"/>
                <w:sz w:val="20"/>
                <w:szCs w:val="20"/>
                <w:highlight w:val="yellow"/>
                <w:lang w:val="en-US" w:eastAsia="it-IT"/>
              </w:rPr>
            </w:pPr>
            <w:r w:rsidRPr="00563523">
              <w:rPr>
                <w:rFonts w:ascii="Calibri" w:eastAsia="Times New Roman" w:hAnsi="Calibri" w:cs="Calibri"/>
                <w:color w:val="000000"/>
                <w:kern w:val="0"/>
                <w:sz w:val="20"/>
                <w:szCs w:val="20"/>
                <w:lang w:val="en-US" w:eastAsia="it-IT"/>
                <w14:ligatures w14:val="none"/>
              </w:rPr>
              <w:t>≥ 18</w:t>
            </w:r>
          </w:p>
        </w:tc>
        <w:tc>
          <w:tcPr>
            <w:tcW w:w="1843" w:type="dxa"/>
            <w:vAlign w:val="center"/>
          </w:tcPr>
          <w:p w14:paraId="48E800B1" w14:textId="77777777" w:rsidR="00E0319A" w:rsidRPr="002C5F4C" w:rsidRDefault="00E0319A" w:rsidP="00E0319A">
            <w:pPr>
              <w:spacing w:after="0" w:line="240" w:lineRule="auto"/>
              <w:rPr>
                <w:rFonts w:eastAsia="Times New Roman" w:cstheme="minorHAnsi"/>
                <w:color w:val="000000"/>
                <w:sz w:val="20"/>
                <w:szCs w:val="20"/>
                <w:lang w:val="en-US" w:eastAsia="it-IT"/>
              </w:rPr>
            </w:pPr>
          </w:p>
        </w:tc>
        <w:tc>
          <w:tcPr>
            <w:tcW w:w="3118" w:type="dxa"/>
            <w:vAlign w:val="center"/>
          </w:tcPr>
          <w:p w14:paraId="076F52F5" w14:textId="77777777" w:rsidR="00E0319A" w:rsidRPr="002C5F4C" w:rsidRDefault="00E0319A" w:rsidP="00E0158D">
            <w:pPr>
              <w:spacing w:after="0" w:line="240" w:lineRule="auto"/>
              <w:jc w:val="both"/>
              <w:rPr>
                <w:rFonts w:eastAsia="Times New Roman" w:cstheme="minorHAnsi"/>
                <w:color w:val="000000"/>
                <w:sz w:val="20"/>
                <w:szCs w:val="20"/>
                <w:lang w:val="en-US" w:eastAsia="it-IT"/>
              </w:rPr>
            </w:pPr>
            <w:r w:rsidRPr="002C5F4C">
              <w:rPr>
                <w:rFonts w:eastAsia="Times New Roman" w:cstheme="minorHAnsi"/>
                <w:color w:val="000000"/>
                <w:sz w:val="20"/>
                <w:szCs w:val="20"/>
                <w:lang w:val="en-US" w:eastAsia="it-IT"/>
              </w:rPr>
              <w:t>Incidence and severity of adverse events (follow-up: 3.5 years)</w:t>
            </w:r>
          </w:p>
        </w:tc>
        <w:tc>
          <w:tcPr>
            <w:tcW w:w="3969" w:type="dxa"/>
            <w:shd w:val="clear" w:color="auto" w:fill="auto"/>
            <w:noWrap/>
            <w:vAlign w:val="center"/>
          </w:tcPr>
          <w:p w14:paraId="54CE2D83" w14:textId="77777777" w:rsidR="00E0319A" w:rsidRPr="00345482" w:rsidRDefault="00E0319A" w:rsidP="00E0158D">
            <w:pPr>
              <w:spacing w:after="0" w:line="240" w:lineRule="auto"/>
              <w:rPr>
                <w:rFonts w:eastAsia="Times New Roman" w:cstheme="minorHAnsi"/>
                <w:color w:val="000000"/>
                <w:sz w:val="20"/>
                <w:szCs w:val="20"/>
                <w:highlight w:val="yellow"/>
                <w:lang w:val="en-US" w:eastAsia="it-IT"/>
              </w:rPr>
            </w:pPr>
            <w:r w:rsidRPr="00E0319A">
              <w:rPr>
                <w:rFonts w:eastAsia="Times New Roman" w:cstheme="minorHAnsi"/>
                <w:color w:val="000000"/>
                <w:sz w:val="20"/>
                <w:szCs w:val="20"/>
                <w:lang w:val="en-US" w:eastAsia="it-IT"/>
              </w:rPr>
              <w:t>Not available</w:t>
            </w:r>
          </w:p>
        </w:tc>
        <w:tc>
          <w:tcPr>
            <w:tcW w:w="1276" w:type="dxa"/>
            <w:shd w:val="clear" w:color="auto" w:fill="auto"/>
            <w:noWrap/>
            <w:vAlign w:val="center"/>
          </w:tcPr>
          <w:p w14:paraId="04B4D063" w14:textId="77777777" w:rsidR="00E0319A" w:rsidRPr="002C5F4C" w:rsidRDefault="00E0319A" w:rsidP="00E0158D">
            <w:pPr>
              <w:spacing w:after="0" w:line="240" w:lineRule="auto"/>
              <w:jc w:val="both"/>
              <w:rPr>
                <w:rFonts w:eastAsia="Times New Roman" w:cstheme="minorHAnsi"/>
                <w:color w:val="000000"/>
                <w:sz w:val="20"/>
                <w:szCs w:val="20"/>
                <w:highlight w:val="yellow"/>
                <w:lang w:val="en-US" w:eastAsia="it-IT"/>
              </w:rPr>
            </w:pPr>
            <w:proofErr w:type="spellStart"/>
            <w:r>
              <w:rPr>
                <w:sz w:val="20"/>
                <w:szCs w:val="20"/>
              </w:rPr>
              <w:t>Ongoing</w:t>
            </w:r>
            <w:proofErr w:type="spellEnd"/>
          </w:p>
        </w:tc>
      </w:tr>
      <w:tr w:rsidR="00E0319A" w:rsidRPr="008D6439" w14:paraId="6EEE0F9F" w14:textId="77777777" w:rsidTr="00E0319A">
        <w:trPr>
          <w:trHeight w:val="285"/>
        </w:trPr>
        <w:tc>
          <w:tcPr>
            <w:tcW w:w="2269" w:type="dxa"/>
            <w:shd w:val="clear" w:color="auto" w:fill="auto"/>
            <w:noWrap/>
            <w:vAlign w:val="center"/>
          </w:tcPr>
          <w:p w14:paraId="69DC3725" w14:textId="5101E6D5" w:rsidR="00E0319A" w:rsidRPr="00563523" w:rsidRDefault="00E0319A" w:rsidP="00E0319A">
            <w:pPr>
              <w:spacing w:after="0" w:line="240" w:lineRule="auto"/>
              <w:rPr>
                <w:rFonts w:eastAsia="Times New Roman" w:cstheme="minorHAnsi"/>
                <w:color w:val="000000"/>
                <w:sz w:val="20"/>
                <w:szCs w:val="20"/>
                <w:lang w:val="en-GB" w:eastAsia="it-IT"/>
              </w:rPr>
            </w:pPr>
            <w:bookmarkStart w:id="16" w:name="_Hlk151997344"/>
            <w:r w:rsidRPr="00563523">
              <w:rPr>
                <w:rFonts w:ascii="Calibri" w:hAnsi="Calibri" w:cs="Calibri"/>
                <w:color w:val="000000"/>
                <w:sz w:val="20"/>
                <w:szCs w:val="20"/>
                <w:lang w:val="en-US"/>
              </w:rPr>
              <w:t>NCT04735432</w:t>
            </w:r>
            <w:r w:rsidR="0033027A">
              <w:rPr>
                <w:rFonts w:ascii="Calibri" w:hAnsi="Calibri" w:cs="Calibri"/>
                <w:color w:val="000000"/>
                <w:sz w:val="20"/>
                <w:szCs w:val="20"/>
                <w:lang w:val="en-US"/>
              </w:rPr>
              <w:t xml:space="preserve"> </w:t>
            </w:r>
            <w:bookmarkEnd w:id="16"/>
            <w:r w:rsidR="0033027A">
              <w:rPr>
                <w:rFonts w:ascii="Calibri" w:hAnsi="Calibri" w:cs="Calibri"/>
                <w:color w:val="000000"/>
                <w:sz w:val="20"/>
                <w:szCs w:val="20"/>
                <w:lang w:val="en-US"/>
              </w:rPr>
              <w:t>[105]</w:t>
            </w:r>
          </w:p>
        </w:tc>
        <w:tc>
          <w:tcPr>
            <w:tcW w:w="764" w:type="dxa"/>
            <w:vAlign w:val="center"/>
          </w:tcPr>
          <w:p w14:paraId="403C66CD" w14:textId="77777777" w:rsidR="00E0319A" w:rsidRPr="00563523" w:rsidRDefault="00E0319A" w:rsidP="00E0158D">
            <w:pPr>
              <w:spacing w:after="0" w:line="240" w:lineRule="auto"/>
              <w:rPr>
                <w:sz w:val="20"/>
                <w:szCs w:val="20"/>
              </w:rPr>
            </w:pPr>
            <w:r w:rsidRPr="00563523">
              <w:rPr>
                <w:sz w:val="20"/>
                <w:szCs w:val="20"/>
              </w:rPr>
              <w:t>III</w:t>
            </w:r>
          </w:p>
        </w:tc>
        <w:tc>
          <w:tcPr>
            <w:tcW w:w="1498" w:type="dxa"/>
            <w:shd w:val="clear" w:color="auto" w:fill="auto"/>
            <w:noWrap/>
            <w:vAlign w:val="center"/>
          </w:tcPr>
          <w:p w14:paraId="68409093" w14:textId="77777777" w:rsidR="00E0319A" w:rsidRPr="00563523" w:rsidRDefault="00E0319A" w:rsidP="00E0158D">
            <w:pPr>
              <w:spacing w:after="0" w:line="240" w:lineRule="auto"/>
              <w:rPr>
                <w:rFonts w:ascii="Calibri" w:eastAsia="Times New Roman" w:hAnsi="Calibri" w:cs="Calibri"/>
                <w:color w:val="000000"/>
                <w:kern w:val="0"/>
                <w:sz w:val="20"/>
                <w:szCs w:val="20"/>
                <w:lang w:val="en-US" w:eastAsia="it-IT"/>
                <w14:ligatures w14:val="none"/>
              </w:rPr>
            </w:pPr>
            <w:proofErr w:type="spellStart"/>
            <w:r w:rsidRPr="00563523">
              <w:rPr>
                <w:sz w:val="20"/>
                <w:szCs w:val="20"/>
              </w:rPr>
              <w:t>Efgartigimod</w:t>
            </w:r>
            <w:proofErr w:type="spellEnd"/>
          </w:p>
        </w:tc>
        <w:tc>
          <w:tcPr>
            <w:tcW w:w="1707" w:type="dxa"/>
            <w:shd w:val="clear" w:color="auto" w:fill="auto"/>
            <w:noWrap/>
            <w:vAlign w:val="center"/>
          </w:tcPr>
          <w:p w14:paraId="0FF749E5" w14:textId="2AEDA309" w:rsidR="00E0319A" w:rsidRPr="00563523" w:rsidRDefault="00E0319A" w:rsidP="00E0158D">
            <w:pPr>
              <w:spacing w:after="0" w:line="240" w:lineRule="auto"/>
              <w:rPr>
                <w:rFonts w:eastAsia="Times New Roman" w:cstheme="minorHAnsi"/>
                <w:color w:val="000000"/>
                <w:sz w:val="20"/>
                <w:szCs w:val="20"/>
                <w:lang w:val="en-US" w:eastAsia="it-IT"/>
              </w:rPr>
            </w:pPr>
            <w:r w:rsidRPr="00563523">
              <w:rPr>
                <w:rFonts w:ascii="Calibri" w:eastAsia="Times New Roman" w:hAnsi="Calibri" w:cs="Calibri"/>
                <w:color w:val="000000"/>
                <w:kern w:val="0"/>
                <w:sz w:val="20"/>
                <w:szCs w:val="20"/>
                <w:lang w:val="en-US" w:eastAsia="it-IT"/>
                <w14:ligatures w14:val="none"/>
              </w:rPr>
              <w:t>≥ 18</w:t>
            </w:r>
          </w:p>
        </w:tc>
        <w:tc>
          <w:tcPr>
            <w:tcW w:w="1843" w:type="dxa"/>
            <w:vAlign w:val="center"/>
          </w:tcPr>
          <w:p w14:paraId="1CDA9EA6" w14:textId="77777777" w:rsidR="00E0319A" w:rsidRPr="002C5F4C" w:rsidRDefault="00E0319A" w:rsidP="00E0319A">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102</w:t>
            </w:r>
          </w:p>
        </w:tc>
        <w:tc>
          <w:tcPr>
            <w:tcW w:w="3118" w:type="dxa"/>
            <w:vAlign w:val="center"/>
          </w:tcPr>
          <w:p w14:paraId="0A051296" w14:textId="79946BFB" w:rsidR="00E0319A" w:rsidRPr="002C5F4C" w:rsidRDefault="00E0319A" w:rsidP="00E0158D">
            <w:pPr>
              <w:spacing w:after="0" w:line="240" w:lineRule="auto"/>
              <w:jc w:val="both"/>
              <w:rPr>
                <w:rFonts w:eastAsia="Times New Roman" w:cstheme="minorHAnsi"/>
                <w:color w:val="000000"/>
                <w:sz w:val="20"/>
                <w:szCs w:val="20"/>
                <w:lang w:val="en-US" w:eastAsia="it-IT"/>
              </w:rPr>
            </w:pPr>
            <w:r>
              <w:rPr>
                <w:rFonts w:eastAsia="Times New Roman" w:cstheme="minorHAnsi"/>
                <w:color w:val="000000"/>
                <w:sz w:val="20"/>
                <w:szCs w:val="20"/>
                <w:lang w:val="en-US" w:eastAsia="it-IT"/>
              </w:rPr>
              <w:t>Mean</w:t>
            </w:r>
            <w:r w:rsidRPr="002C5F4C">
              <w:rPr>
                <w:rFonts w:eastAsia="Times New Roman" w:cstheme="minorHAnsi"/>
                <w:color w:val="000000"/>
                <w:sz w:val="20"/>
                <w:szCs w:val="20"/>
                <w:lang w:val="en-US" w:eastAsia="it-IT"/>
              </w:rPr>
              <w:t xml:space="preserve"> change from baseline in total IgG levels after 4 weeks of treatment</w:t>
            </w:r>
          </w:p>
        </w:tc>
        <w:tc>
          <w:tcPr>
            <w:tcW w:w="3969" w:type="dxa"/>
            <w:shd w:val="clear" w:color="auto" w:fill="auto"/>
            <w:noWrap/>
            <w:vAlign w:val="center"/>
          </w:tcPr>
          <w:p w14:paraId="7FA6B485" w14:textId="77777777" w:rsidR="00E0319A" w:rsidRPr="00A70C1F" w:rsidRDefault="00E0319A" w:rsidP="00E0319A">
            <w:pPr>
              <w:spacing w:after="0" w:line="240" w:lineRule="auto"/>
              <w:jc w:val="both"/>
              <w:rPr>
                <w:rFonts w:eastAsia="Times New Roman" w:cstheme="minorHAnsi"/>
                <w:color w:val="000000"/>
                <w:sz w:val="20"/>
                <w:szCs w:val="20"/>
                <w:lang w:val="en-US" w:eastAsia="it-IT"/>
              </w:rPr>
            </w:pPr>
            <w:r>
              <w:rPr>
                <w:rFonts w:eastAsia="Times New Roman" w:cstheme="minorHAnsi"/>
                <w:color w:val="000000"/>
                <w:sz w:val="20"/>
                <w:szCs w:val="20"/>
                <w:lang w:val="en-US" w:eastAsia="it-IT"/>
              </w:rPr>
              <w:t>The m</w:t>
            </w:r>
            <w:r w:rsidRPr="00A70C1F">
              <w:rPr>
                <w:rFonts w:eastAsia="Times New Roman" w:cstheme="minorHAnsi"/>
                <w:color w:val="000000"/>
                <w:sz w:val="20"/>
                <w:szCs w:val="20"/>
                <w:lang w:val="en-US" w:eastAsia="it-IT"/>
              </w:rPr>
              <w:t>ean (95% CI)</w:t>
            </w:r>
            <w:r>
              <w:rPr>
                <w:rFonts w:eastAsia="Times New Roman" w:cstheme="minorHAnsi"/>
                <w:color w:val="000000"/>
                <w:sz w:val="20"/>
                <w:szCs w:val="20"/>
                <w:lang w:val="en-US" w:eastAsia="it-IT"/>
              </w:rPr>
              <w:t xml:space="preserve"> </w:t>
            </w:r>
            <w:r w:rsidRPr="002C5F4C">
              <w:rPr>
                <w:rFonts w:eastAsia="Times New Roman" w:cstheme="minorHAnsi"/>
                <w:color w:val="000000"/>
                <w:sz w:val="20"/>
                <w:szCs w:val="20"/>
                <w:lang w:val="en-US" w:eastAsia="it-IT"/>
              </w:rPr>
              <w:t>change from baseline in total IgG levels after 4 weeks of treatment</w:t>
            </w:r>
            <w:r>
              <w:rPr>
                <w:rFonts w:eastAsia="Times New Roman" w:cstheme="minorHAnsi"/>
                <w:color w:val="000000"/>
                <w:sz w:val="20"/>
                <w:szCs w:val="20"/>
                <w:lang w:val="en-US" w:eastAsia="it-IT"/>
              </w:rPr>
              <w:t xml:space="preserve"> was equal to </w:t>
            </w:r>
            <w:r w:rsidRPr="00A70C1F">
              <w:rPr>
                <w:rFonts w:eastAsia="Times New Roman" w:cstheme="minorHAnsi"/>
                <w:color w:val="000000"/>
                <w:sz w:val="20"/>
                <w:szCs w:val="20"/>
                <w:lang w:val="en-US" w:eastAsia="it-IT"/>
              </w:rPr>
              <w:t>-66.4</w:t>
            </w:r>
            <w:r>
              <w:rPr>
                <w:rFonts w:eastAsia="Times New Roman" w:cstheme="minorHAnsi"/>
                <w:color w:val="000000"/>
                <w:sz w:val="20"/>
                <w:szCs w:val="20"/>
                <w:lang w:val="en-US" w:eastAsia="it-IT"/>
              </w:rPr>
              <w:t xml:space="preserve"> </w:t>
            </w:r>
            <w:r w:rsidRPr="00A70C1F">
              <w:rPr>
                <w:rFonts w:eastAsia="Times New Roman" w:cstheme="minorHAnsi"/>
                <w:color w:val="000000"/>
                <w:sz w:val="20"/>
                <w:szCs w:val="20"/>
                <w:lang w:val="en-US" w:eastAsia="it-IT"/>
              </w:rPr>
              <w:t>(-68.91 to -63.86)</w:t>
            </w:r>
            <w:r>
              <w:rPr>
                <w:rFonts w:eastAsia="Times New Roman" w:cstheme="minorHAnsi"/>
                <w:color w:val="000000"/>
                <w:sz w:val="20"/>
                <w:szCs w:val="20"/>
                <w:lang w:val="en-US" w:eastAsia="it-IT"/>
              </w:rPr>
              <w:t xml:space="preserve"> for patients receiving subcutaneous efgartigimod PH20 (1000 mg) and </w:t>
            </w:r>
            <w:r w:rsidRPr="00A855A2">
              <w:rPr>
                <w:rFonts w:eastAsia="Times New Roman" w:cstheme="minorHAnsi"/>
                <w:color w:val="000000"/>
                <w:sz w:val="20"/>
                <w:szCs w:val="20"/>
                <w:lang w:val="en-US" w:eastAsia="it-IT"/>
              </w:rPr>
              <w:t>-62.2</w:t>
            </w:r>
            <w:r>
              <w:rPr>
                <w:rFonts w:eastAsia="Times New Roman" w:cstheme="minorHAnsi"/>
                <w:color w:val="000000"/>
                <w:sz w:val="20"/>
                <w:szCs w:val="20"/>
                <w:lang w:val="en-US" w:eastAsia="it-IT"/>
              </w:rPr>
              <w:t xml:space="preserve"> </w:t>
            </w:r>
            <w:r w:rsidRPr="00A855A2">
              <w:rPr>
                <w:rFonts w:eastAsia="Times New Roman" w:cstheme="minorHAnsi"/>
                <w:color w:val="000000"/>
                <w:sz w:val="20"/>
                <w:szCs w:val="20"/>
                <w:lang w:val="en-US" w:eastAsia="it-IT"/>
              </w:rPr>
              <w:t>(-64.67 to -59.72)</w:t>
            </w:r>
            <w:r>
              <w:rPr>
                <w:rFonts w:eastAsia="Times New Roman" w:cstheme="minorHAnsi"/>
                <w:color w:val="000000"/>
                <w:sz w:val="20"/>
                <w:szCs w:val="20"/>
                <w:lang w:val="en-US" w:eastAsia="it-IT"/>
              </w:rPr>
              <w:t xml:space="preserve"> for patients receiving intravenous efgartigimod (10 mg/kg)</w:t>
            </w:r>
          </w:p>
        </w:tc>
        <w:tc>
          <w:tcPr>
            <w:tcW w:w="1276" w:type="dxa"/>
            <w:shd w:val="clear" w:color="auto" w:fill="auto"/>
            <w:noWrap/>
            <w:vAlign w:val="center"/>
          </w:tcPr>
          <w:p w14:paraId="39683CB7" w14:textId="77777777" w:rsidR="00E0319A" w:rsidRPr="002C5F4C" w:rsidRDefault="00E0319A" w:rsidP="00E0319A">
            <w:pPr>
              <w:spacing w:after="0" w:line="240" w:lineRule="auto"/>
              <w:rPr>
                <w:rFonts w:ascii="Calibri" w:eastAsia="Times New Roman" w:hAnsi="Calibri" w:cs="Calibri"/>
                <w:color w:val="000000"/>
                <w:kern w:val="0"/>
                <w:sz w:val="20"/>
                <w:szCs w:val="20"/>
                <w:lang w:val="en-US" w:eastAsia="it-IT"/>
                <w14:ligatures w14:val="none"/>
              </w:rPr>
            </w:pPr>
            <w:proofErr w:type="spellStart"/>
            <w:r w:rsidRPr="002C5F4C">
              <w:rPr>
                <w:sz w:val="20"/>
                <w:szCs w:val="20"/>
              </w:rPr>
              <w:t>Completed</w:t>
            </w:r>
            <w:proofErr w:type="spellEnd"/>
          </w:p>
        </w:tc>
      </w:tr>
      <w:tr w:rsidR="00E0319A" w:rsidRPr="008D6439" w14:paraId="225A64ED" w14:textId="77777777" w:rsidTr="00E0319A">
        <w:trPr>
          <w:trHeight w:val="285"/>
        </w:trPr>
        <w:tc>
          <w:tcPr>
            <w:tcW w:w="2269" w:type="dxa"/>
            <w:shd w:val="clear" w:color="auto" w:fill="auto"/>
            <w:noWrap/>
            <w:vAlign w:val="center"/>
          </w:tcPr>
          <w:p w14:paraId="3DDA2A1E" w14:textId="1C1037CC" w:rsidR="00E0319A" w:rsidRPr="006924A0" w:rsidRDefault="00E0319A" w:rsidP="00E0158D">
            <w:pPr>
              <w:spacing w:after="0" w:line="240" w:lineRule="auto"/>
              <w:jc w:val="both"/>
              <w:rPr>
                <w:rFonts w:ascii="Calibri" w:hAnsi="Calibri" w:cs="Calibri"/>
                <w:color w:val="000000"/>
                <w:sz w:val="20"/>
                <w:szCs w:val="20"/>
                <w:lang w:val="en-US"/>
              </w:rPr>
            </w:pPr>
            <w:bookmarkStart w:id="17" w:name="_Hlk151997424"/>
            <w:r w:rsidRPr="00563523">
              <w:rPr>
                <w:rFonts w:ascii="Calibri" w:hAnsi="Calibri" w:cs="Calibri"/>
                <w:color w:val="000000"/>
                <w:sz w:val="20"/>
                <w:szCs w:val="20"/>
                <w:lang w:val="en-US"/>
              </w:rPr>
              <w:t>NCT05644561</w:t>
            </w:r>
            <w:r w:rsidR="0033027A">
              <w:rPr>
                <w:rFonts w:ascii="Calibri" w:hAnsi="Calibri" w:cs="Calibri"/>
                <w:color w:val="000000"/>
                <w:sz w:val="20"/>
                <w:szCs w:val="20"/>
                <w:lang w:val="en-US"/>
              </w:rPr>
              <w:t xml:space="preserve"> </w:t>
            </w:r>
            <w:bookmarkEnd w:id="17"/>
            <w:r w:rsidR="0033027A">
              <w:rPr>
                <w:rFonts w:ascii="Calibri" w:hAnsi="Calibri" w:cs="Calibri"/>
                <w:color w:val="000000"/>
                <w:sz w:val="20"/>
                <w:szCs w:val="20"/>
                <w:lang w:val="en-US"/>
              </w:rPr>
              <w:t>[106]</w:t>
            </w:r>
          </w:p>
        </w:tc>
        <w:tc>
          <w:tcPr>
            <w:tcW w:w="764" w:type="dxa"/>
            <w:vAlign w:val="center"/>
          </w:tcPr>
          <w:p w14:paraId="758E9557" w14:textId="77777777" w:rsidR="00E0319A" w:rsidRPr="00563523" w:rsidRDefault="00E0319A" w:rsidP="00E0158D">
            <w:pPr>
              <w:spacing w:after="0" w:line="240" w:lineRule="auto"/>
              <w:rPr>
                <w:sz w:val="20"/>
                <w:szCs w:val="20"/>
              </w:rPr>
            </w:pPr>
            <w:r w:rsidRPr="00563523">
              <w:rPr>
                <w:sz w:val="20"/>
                <w:szCs w:val="20"/>
              </w:rPr>
              <w:t>III</w:t>
            </w:r>
          </w:p>
        </w:tc>
        <w:tc>
          <w:tcPr>
            <w:tcW w:w="1498" w:type="dxa"/>
            <w:shd w:val="clear" w:color="auto" w:fill="auto"/>
            <w:noWrap/>
            <w:vAlign w:val="center"/>
          </w:tcPr>
          <w:p w14:paraId="7A041FA4" w14:textId="77777777" w:rsidR="00E0319A" w:rsidRPr="00563523" w:rsidRDefault="00E0319A" w:rsidP="00E0158D">
            <w:pPr>
              <w:spacing w:after="0" w:line="240" w:lineRule="auto"/>
              <w:rPr>
                <w:rFonts w:ascii="Calibri" w:eastAsia="Times New Roman" w:hAnsi="Calibri" w:cs="Calibri"/>
                <w:color w:val="000000"/>
                <w:kern w:val="0"/>
                <w:sz w:val="20"/>
                <w:szCs w:val="20"/>
                <w:lang w:val="en-US" w:eastAsia="it-IT"/>
                <w14:ligatures w14:val="none"/>
              </w:rPr>
            </w:pPr>
            <w:proofErr w:type="spellStart"/>
            <w:r w:rsidRPr="00563523">
              <w:rPr>
                <w:sz w:val="20"/>
                <w:szCs w:val="20"/>
              </w:rPr>
              <w:t>Ravulizumab</w:t>
            </w:r>
            <w:proofErr w:type="spellEnd"/>
          </w:p>
        </w:tc>
        <w:tc>
          <w:tcPr>
            <w:tcW w:w="1707" w:type="dxa"/>
            <w:shd w:val="clear" w:color="auto" w:fill="auto"/>
            <w:noWrap/>
            <w:vAlign w:val="center"/>
          </w:tcPr>
          <w:p w14:paraId="0B3ECC4B" w14:textId="1EABA5AD" w:rsidR="00E0319A" w:rsidRPr="006924A0" w:rsidRDefault="00E0319A" w:rsidP="00E0158D">
            <w:pPr>
              <w:spacing w:after="0" w:line="240" w:lineRule="auto"/>
              <w:rPr>
                <w:rFonts w:ascii="Calibri" w:eastAsia="Times New Roman" w:hAnsi="Calibri" w:cs="Calibri"/>
                <w:color w:val="000000"/>
                <w:kern w:val="0"/>
                <w:sz w:val="20"/>
                <w:szCs w:val="20"/>
                <w:lang w:eastAsia="it-IT"/>
                <w14:ligatures w14:val="none"/>
              </w:rPr>
            </w:pPr>
            <w:r w:rsidRPr="00563523">
              <w:rPr>
                <w:rFonts w:ascii="Calibri" w:eastAsia="Times New Roman" w:hAnsi="Calibri" w:cs="Calibri"/>
                <w:color w:val="000000"/>
                <w:kern w:val="0"/>
                <w:sz w:val="20"/>
                <w:szCs w:val="20"/>
                <w:lang w:val="en-US" w:eastAsia="it-IT"/>
                <w14:ligatures w14:val="none"/>
              </w:rPr>
              <w:t>6-18</w:t>
            </w:r>
          </w:p>
        </w:tc>
        <w:tc>
          <w:tcPr>
            <w:tcW w:w="1843" w:type="dxa"/>
            <w:vAlign w:val="center"/>
          </w:tcPr>
          <w:p w14:paraId="03301A83" w14:textId="77777777" w:rsidR="00E0319A" w:rsidRPr="002C5F4C" w:rsidRDefault="00E0319A" w:rsidP="00E0319A">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12</w:t>
            </w:r>
          </w:p>
        </w:tc>
        <w:tc>
          <w:tcPr>
            <w:tcW w:w="3118" w:type="dxa"/>
            <w:vAlign w:val="center"/>
          </w:tcPr>
          <w:p w14:paraId="6775CF15" w14:textId="77777777" w:rsidR="00E0319A" w:rsidRPr="002C5F4C" w:rsidRDefault="00E0319A" w:rsidP="00E0158D">
            <w:pPr>
              <w:spacing w:after="0" w:line="240" w:lineRule="auto"/>
              <w:jc w:val="both"/>
              <w:rPr>
                <w:rFonts w:eastAsia="Times New Roman" w:cstheme="minorHAnsi"/>
                <w:color w:val="000000"/>
                <w:sz w:val="20"/>
                <w:szCs w:val="20"/>
                <w:lang w:val="en-US" w:eastAsia="it-IT"/>
              </w:rPr>
            </w:pPr>
            <w:r w:rsidRPr="002C5F4C">
              <w:rPr>
                <w:rFonts w:eastAsia="Times New Roman" w:cstheme="minorHAnsi"/>
                <w:color w:val="000000"/>
                <w:sz w:val="20"/>
                <w:szCs w:val="20"/>
                <w:lang w:val="en-US" w:eastAsia="it-IT"/>
              </w:rPr>
              <w:t xml:space="preserve">Evaluation of plasma and serum concentrations of </w:t>
            </w:r>
            <w:proofErr w:type="spellStart"/>
            <w:r w:rsidRPr="002C5F4C">
              <w:rPr>
                <w:rFonts w:eastAsia="Times New Roman" w:cstheme="minorHAnsi"/>
                <w:color w:val="000000"/>
                <w:sz w:val="20"/>
                <w:szCs w:val="20"/>
                <w:lang w:val="en-US" w:eastAsia="it-IT"/>
              </w:rPr>
              <w:t>ravulizumab</w:t>
            </w:r>
            <w:proofErr w:type="spellEnd"/>
            <w:r w:rsidRPr="002C5F4C">
              <w:rPr>
                <w:rFonts w:eastAsia="Times New Roman" w:cstheme="minorHAnsi"/>
                <w:color w:val="000000"/>
                <w:sz w:val="20"/>
                <w:szCs w:val="20"/>
                <w:lang w:val="en-US" w:eastAsia="it-IT"/>
              </w:rPr>
              <w:t xml:space="preserve"> from day 1 to day 18</w:t>
            </w:r>
          </w:p>
        </w:tc>
        <w:tc>
          <w:tcPr>
            <w:tcW w:w="3969" w:type="dxa"/>
            <w:shd w:val="clear" w:color="auto" w:fill="auto"/>
            <w:noWrap/>
            <w:vAlign w:val="center"/>
          </w:tcPr>
          <w:p w14:paraId="2D963B03" w14:textId="77777777" w:rsidR="00E0319A" w:rsidRPr="00345482" w:rsidRDefault="00E0319A" w:rsidP="00E0158D">
            <w:pPr>
              <w:spacing w:after="0" w:line="240" w:lineRule="auto"/>
              <w:rPr>
                <w:sz w:val="20"/>
                <w:szCs w:val="20"/>
                <w:lang w:val="en-US"/>
              </w:rPr>
            </w:pPr>
            <w:r>
              <w:rPr>
                <w:sz w:val="20"/>
                <w:szCs w:val="20"/>
                <w:lang w:val="en-US"/>
              </w:rPr>
              <w:t>Not available</w:t>
            </w:r>
          </w:p>
        </w:tc>
        <w:tc>
          <w:tcPr>
            <w:tcW w:w="1276" w:type="dxa"/>
            <w:shd w:val="clear" w:color="auto" w:fill="auto"/>
            <w:noWrap/>
            <w:vAlign w:val="center"/>
          </w:tcPr>
          <w:p w14:paraId="7762BF86" w14:textId="77777777" w:rsidR="00E0319A" w:rsidRPr="002C5F4C" w:rsidRDefault="00E0319A" w:rsidP="00E0158D">
            <w:pPr>
              <w:spacing w:after="0" w:line="240" w:lineRule="auto"/>
              <w:jc w:val="both"/>
              <w:rPr>
                <w:rFonts w:ascii="Calibri" w:eastAsia="Times New Roman" w:hAnsi="Calibri" w:cs="Calibri"/>
                <w:i/>
                <w:iCs/>
                <w:color w:val="000000"/>
                <w:kern w:val="0"/>
                <w:sz w:val="20"/>
                <w:szCs w:val="20"/>
                <w:lang w:val="en-US" w:eastAsia="it-IT"/>
                <w14:ligatures w14:val="none"/>
              </w:rPr>
            </w:pPr>
            <w:proofErr w:type="spellStart"/>
            <w:r>
              <w:rPr>
                <w:sz w:val="20"/>
                <w:szCs w:val="20"/>
              </w:rPr>
              <w:t>Ongoing</w:t>
            </w:r>
            <w:proofErr w:type="spellEnd"/>
          </w:p>
        </w:tc>
      </w:tr>
      <w:tr w:rsidR="00E0319A" w:rsidRPr="008D6439" w14:paraId="1260B1BD" w14:textId="77777777" w:rsidTr="00E0319A">
        <w:trPr>
          <w:trHeight w:val="285"/>
        </w:trPr>
        <w:tc>
          <w:tcPr>
            <w:tcW w:w="2269" w:type="dxa"/>
            <w:shd w:val="clear" w:color="auto" w:fill="auto"/>
            <w:noWrap/>
            <w:vAlign w:val="center"/>
          </w:tcPr>
          <w:p w14:paraId="00DEABA6" w14:textId="6408C34E" w:rsidR="00E0319A" w:rsidRPr="007B40AB" w:rsidRDefault="00E0319A" w:rsidP="00E0158D">
            <w:pPr>
              <w:spacing w:after="0" w:line="240" w:lineRule="auto"/>
              <w:jc w:val="both"/>
              <w:rPr>
                <w:rFonts w:ascii="Calibri" w:hAnsi="Calibri" w:cs="Calibri"/>
                <w:color w:val="000000"/>
                <w:sz w:val="20"/>
                <w:szCs w:val="20"/>
                <w:lang w:val="en-US"/>
              </w:rPr>
            </w:pPr>
            <w:bookmarkStart w:id="18" w:name="_Hlk151997483"/>
            <w:r w:rsidRPr="007B40AB">
              <w:rPr>
                <w:rFonts w:cstheme="minorHAnsi"/>
                <w:color w:val="000000"/>
                <w:sz w:val="20"/>
                <w:szCs w:val="20"/>
                <w:lang w:val="en-US"/>
              </w:rPr>
              <w:t>NCT05681715</w:t>
            </w:r>
            <w:r w:rsidR="0033027A">
              <w:rPr>
                <w:rFonts w:cstheme="minorHAnsi"/>
                <w:color w:val="000000"/>
                <w:sz w:val="20"/>
                <w:szCs w:val="20"/>
                <w:lang w:val="en-US"/>
              </w:rPr>
              <w:t xml:space="preserve"> </w:t>
            </w:r>
            <w:bookmarkEnd w:id="18"/>
            <w:r w:rsidR="0033027A">
              <w:rPr>
                <w:rFonts w:cstheme="minorHAnsi"/>
                <w:color w:val="000000"/>
                <w:sz w:val="20"/>
                <w:szCs w:val="20"/>
                <w:lang w:val="en-US"/>
              </w:rPr>
              <w:t>[107]</w:t>
            </w:r>
          </w:p>
        </w:tc>
        <w:tc>
          <w:tcPr>
            <w:tcW w:w="764" w:type="dxa"/>
            <w:vAlign w:val="center"/>
          </w:tcPr>
          <w:p w14:paraId="796BA0B8" w14:textId="77777777" w:rsidR="00E0319A" w:rsidRPr="007B40AB" w:rsidRDefault="00E0319A" w:rsidP="00E0158D">
            <w:pPr>
              <w:spacing w:after="0" w:line="240" w:lineRule="auto"/>
              <w:rPr>
                <w:rFonts w:cstheme="minorHAnsi"/>
                <w:sz w:val="20"/>
                <w:szCs w:val="20"/>
              </w:rPr>
            </w:pPr>
            <w:r w:rsidRPr="007B40AB">
              <w:rPr>
                <w:rFonts w:cstheme="minorHAnsi"/>
                <w:sz w:val="20"/>
                <w:szCs w:val="20"/>
              </w:rPr>
              <w:t>III</w:t>
            </w:r>
          </w:p>
        </w:tc>
        <w:tc>
          <w:tcPr>
            <w:tcW w:w="1498" w:type="dxa"/>
            <w:shd w:val="clear" w:color="auto" w:fill="auto"/>
            <w:noWrap/>
            <w:vAlign w:val="center"/>
          </w:tcPr>
          <w:p w14:paraId="3101B37F" w14:textId="77777777" w:rsidR="00E0319A" w:rsidRPr="007B40AB" w:rsidRDefault="00E0319A" w:rsidP="00E0158D">
            <w:pPr>
              <w:spacing w:after="0" w:line="240" w:lineRule="auto"/>
              <w:rPr>
                <w:rFonts w:eastAsia="Times New Roman" w:cstheme="minorHAnsi"/>
                <w:color w:val="000000"/>
                <w:kern w:val="0"/>
                <w:sz w:val="20"/>
                <w:szCs w:val="20"/>
                <w:lang w:val="en-US" w:eastAsia="it-IT"/>
                <w14:ligatures w14:val="none"/>
              </w:rPr>
            </w:pPr>
            <w:proofErr w:type="spellStart"/>
            <w:r w:rsidRPr="007B40AB">
              <w:rPr>
                <w:rFonts w:cstheme="minorHAnsi"/>
                <w:sz w:val="20"/>
                <w:szCs w:val="20"/>
              </w:rPr>
              <w:t>Rozanolixizumab</w:t>
            </w:r>
            <w:proofErr w:type="spellEnd"/>
          </w:p>
        </w:tc>
        <w:tc>
          <w:tcPr>
            <w:tcW w:w="1707" w:type="dxa"/>
            <w:shd w:val="clear" w:color="auto" w:fill="auto"/>
            <w:noWrap/>
            <w:vAlign w:val="center"/>
          </w:tcPr>
          <w:p w14:paraId="294FEFDF" w14:textId="39FF99CA" w:rsidR="00E0319A" w:rsidRPr="007B40AB" w:rsidRDefault="00E0319A" w:rsidP="00E0158D">
            <w:pPr>
              <w:spacing w:after="0" w:line="240" w:lineRule="auto"/>
              <w:rPr>
                <w:rFonts w:ascii="Calibri" w:eastAsia="Times New Roman" w:hAnsi="Calibri" w:cs="Calibri"/>
                <w:color w:val="000000"/>
                <w:kern w:val="0"/>
                <w:sz w:val="20"/>
                <w:szCs w:val="20"/>
                <w:lang w:val="en-US" w:eastAsia="it-IT"/>
                <w14:ligatures w14:val="none"/>
              </w:rPr>
            </w:pPr>
            <w:r w:rsidRPr="007B40AB">
              <w:rPr>
                <w:rFonts w:eastAsia="Times New Roman" w:cstheme="minorHAnsi"/>
                <w:color w:val="000000"/>
                <w:kern w:val="0"/>
                <w:sz w:val="20"/>
                <w:szCs w:val="20"/>
                <w:lang w:val="en-US" w:eastAsia="it-IT"/>
                <w14:ligatures w14:val="none"/>
              </w:rPr>
              <w:t>≥ 18</w:t>
            </w:r>
          </w:p>
        </w:tc>
        <w:tc>
          <w:tcPr>
            <w:tcW w:w="1843" w:type="dxa"/>
            <w:vAlign w:val="center"/>
          </w:tcPr>
          <w:p w14:paraId="7AB20497" w14:textId="77777777" w:rsidR="00E0319A" w:rsidRPr="007B40AB" w:rsidRDefault="00E0319A" w:rsidP="00E0319A">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30</w:t>
            </w:r>
          </w:p>
        </w:tc>
        <w:tc>
          <w:tcPr>
            <w:tcW w:w="3118" w:type="dxa"/>
            <w:vAlign w:val="center"/>
          </w:tcPr>
          <w:p w14:paraId="1A67191B" w14:textId="77777777" w:rsidR="00E0319A" w:rsidRPr="007B40AB" w:rsidRDefault="00E0319A" w:rsidP="00E0158D">
            <w:pPr>
              <w:spacing w:after="0" w:line="240" w:lineRule="auto"/>
              <w:jc w:val="both"/>
              <w:rPr>
                <w:rFonts w:eastAsia="Times New Roman" w:cstheme="minorHAnsi"/>
                <w:color w:val="000000"/>
                <w:sz w:val="20"/>
                <w:szCs w:val="20"/>
                <w:lang w:val="en-US" w:eastAsia="it-IT"/>
              </w:rPr>
            </w:pPr>
            <w:r w:rsidRPr="007B40AB">
              <w:rPr>
                <w:rFonts w:eastAsia="Times New Roman" w:cstheme="minorHAnsi"/>
                <w:color w:val="000000"/>
                <w:sz w:val="20"/>
                <w:szCs w:val="20"/>
                <w:lang w:val="en-US" w:eastAsia="it-IT"/>
              </w:rPr>
              <w:t>Success of self-administration of the drug, assessed at weeks 12 and 18</w:t>
            </w:r>
          </w:p>
        </w:tc>
        <w:tc>
          <w:tcPr>
            <w:tcW w:w="3969" w:type="dxa"/>
            <w:shd w:val="clear" w:color="auto" w:fill="auto"/>
            <w:noWrap/>
            <w:vAlign w:val="center"/>
          </w:tcPr>
          <w:p w14:paraId="003AEB37" w14:textId="77777777" w:rsidR="00E0319A" w:rsidRPr="007B40AB" w:rsidRDefault="00E0319A" w:rsidP="00E0158D">
            <w:pPr>
              <w:spacing w:after="0" w:line="240" w:lineRule="auto"/>
              <w:rPr>
                <w:sz w:val="20"/>
                <w:szCs w:val="20"/>
                <w:lang w:val="en-US"/>
              </w:rPr>
            </w:pPr>
            <w:r>
              <w:rPr>
                <w:sz w:val="20"/>
                <w:szCs w:val="20"/>
                <w:lang w:val="en-US"/>
              </w:rPr>
              <w:t>Not available</w:t>
            </w:r>
          </w:p>
        </w:tc>
        <w:tc>
          <w:tcPr>
            <w:tcW w:w="1276" w:type="dxa"/>
            <w:shd w:val="clear" w:color="auto" w:fill="auto"/>
            <w:noWrap/>
            <w:vAlign w:val="center"/>
          </w:tcPr>
          <w:p w14:paraId="6F5E5E9D" w14:textId="77777777" w:rsidR="00E0319A" w:rsidRPr="007B40AB" w:rsidRDefault="00E0319A" w:rsidP="00E0158D">
            <w:pPr>
              <w:spacing w:after="0" w:line="240" w:lineRule="auto"/>
              <w:jc w:val="both"/>
              <w:rPr>
                <w:rFonts w:ascii="Calibri" w:eastAsia="Times New Roman" w:hAnsi="Calibri" w:cs="Calibri"/>
                <w:color w:val="000000"/>
                <w:kern w:val="0"/>
                <w:sz w:val="20"/>
                <w:szCs w:val="20"/>
                <w:lang w:val="en-US" w:eastAsia="it-IT"/>
                <w14:ligatures w14:val="none"/>
              </w:rPr>
            </w:pPr>
            <w:r w:rsidRPr="007B40AB">
              <w:rPr>
                <w:rFonts w:cstheme="minorHAnsi"/>
                <w:sz w:val="20"/>
                <w:szCs w:val="20"/>
              </w:rPr>
              <w:t>Recruiting</w:t>
            </w:r>
          </w:p>
        </w:tc>
      </w:tr>
      <w:tr w:rsidR="00E0319A" w:rsidRPr="008D6439" w14:paraId="108751B1" w14:textId="77777777" w:rsidTr="00E0319A">
        <w:trPr>
          <w:trHeight w:val="285"/>
        </w:trPr>
        <w:tc>
          <w:tcPr>
            <w:tcW w:w="2269" w:type="dxa"/>
            <w:shd w:val="clear" w:color="auto" w:fill="auto"/>
            <w:noWrap/>
            <w:vAlign w:val="center"/>
          </w:tcPr>
          <w:p w14:paraId="228F5589" w14:textId="063854D8" w:rsidR="00E0319A" w:rsidRPr="007B40AB" w:rsidRDefault="00E0319A" w:rsidP="00E0158D">
            <w:pPr>
              <w:spacing w:after="0" w:line="240" w:lineRule="auto"/>
              <w:jc w:val="both"/>
              <w:rPr>
                <w:rFonts w:ascii="Calibri" w:hAnsi="Calibri" w:cs="Calibri"/>
                <w:color w:val="000000"/>
                <w:sz w:val="20"/>
                <w:szCs w:val="20"/>
                <w:lang w:val="en-US"/>
              </w:rPr>
            </w:pPr>
            <w:bookmarkStart w:id="19" w:name="_Hlk151997526"/>
            <w:r w:rsidRPr="007B40AB">
              <w:rPr>
                <w:rFonts w:cstheme="minorHAnsi"/>
                <w:color w:val="000000"/>
                <w:sz w:val="20"/>
                <w:szCs w:val="20"/>
                <w:lang w:val="en-US"/>
              </w:rPr>
              <w:t>NCT04650854</w:t>
            </w:r>
            <w:r w:rsidR="0033027A">
              <w:rPr>
                <w:rFonts w:cstheme="minorHAnsi"/>
                <w:color w:val="000000"/>
                <w:sz w:val="20"/>
                <w:szCs w:val="20"/>
                <w:lang w:val="en-US"/>
              </w:rPr>
              <w:t xml:space="preserve"> </w:t>
            </w:r>
            <w:bookmarkEnd w:id="19"/>
            <w:r w:rsidR="0033027A">
              <w:rPr>
                <w:rFonts w:cstheme="minorHAnsi"/>
                <w:color w:val="000000"/>
                <w:sz w:val="20"/>
                <w:szCs w:val="20"/>
                <w:lang w:val="en-US"/>
              </w:rPr>
              <w:t>[108]</w:t>
            </w:r>
          </w:p>
        </w:tc>
        <w:tc>
          <w:tcPr>
            <w:tcW w:w="764" w:type="dxa"/>
            <w:vAlign w:val="center"/>
          </w:tcPr>
          <w:p w14:paraId="6FD1333F" w14:textId="77777777" w:rsidR="00E0319A" w:rsidRPr="007B40AB" w:rsidRDefault="00E0319A" w:rsidP="00E0158D">
            <w:pPr>
              <w:spacing w:after="0" w:line="240" w:lineRule="auto"/>
              <w:rPr>
                <w:rFonts w:cstheme="minorHAnsi"/>
                <w:sz w:val="20"/>
                <w:szCs w:val="20"/>
              </w:rPr>
            </w:pPr>
            <w:r w:rsidRPr="007B40AB">
              <w:rPr>
                <w:rFonts w:cstheme="minorHAnsi"/>
                <w:sz w:val="20"/>
                <w:szCs w:val="20"/>
              </w:rPr>
              <w:t>III</w:t>
            </w:r>
          </w:p>
        </w:tc>
        <w:tc>
          <w:tcPr>
            <w:tcW w:w="1498" w:type="dxa"/>
            <w:shd w:val="clear" w:color="auto" w:fill="auto"/>
            <w:noWrap/>
            <w:vAlign w:val="center"/>
          </w:tcPr>
          <w:p w14:paraId="47A7E6DB" w14:textId="77777777" w:rsidR="00E0319A" w:rsidRPr="007B40AB" w:rsidRDefault="00E0319A" w:rsidP="00E0158D">
            <w:pPr>
              <w:spacing w:after="0" w:line="240" w:lineRule="auto"/>
              <w:rPr>
                <w:rFonts w:eastAsia="Times New Roman" w:cstheme="minorHAnsi"/>
                <w:color w:val="000000"/>
                <w:kern w:val="0"/>
                <w:sz w:val="20"/>
                <w:szCs w:val="20"/>
                <w:lang w:val="en-US" w:eastAsia="it-IT"/>
                <w14:ligatures w14:val="none"/>
              </w:rPr>
            </w:pPr>
            <w:proofErr w:type="spellStart"/>
            <w:r w:rsidRPr="007B40AB">
              <w:rPr>
                <w:rFonts w:cstheme="minorHAnsi"/>
                <w:sz w:val="20"/>
                <w:szCs w:val="20"/>
              </w:rPr>
              <w:t>Rozanolixizumab</w:t>
            </w:r>
            <w:proofErr w:type="spellEnd"/>
          </w:p>
        </w:tc>
        <w:tc>
          <w:tcPr>
            <w:tcW w:w="1707" w:type="dxa"/>
            <w:shd w:val="clear" w:color="auto" w:fill="auto"/>
            <w:noWrap/>
            <w:vAlign w:val="center"/>
          </w:tcPr>
          <w:p w14:paraId="0F5039DA" w14:textId="1DBBC036" w:rsidR="00E0319A" w:rsidRPr="007B40AB" w:rsidRDefault="00E0319A" w:rsidP="00E0158D">
            <w:pPr>
              <w:spacing w:after="0" w:line="240" w:lineRule="auto"/>
              <w:rPr>
                <w:rFonts w:ascii="Calibri" w:eastAsia="Times New Roman" w:hAnsi="Calibri" w:cs="Calibri"/>
                <w:color w:val="000000"/>
                <w:kern w:val="0"/>
                <w:sz w:val="20"/>
                <w:szCs w:val="20"/>
                <w:lang w:val="en-US" w:eastAsia="it-IT"/>
                <w14:ligatures w14:val="none"/>
              </w:rPr>
            </w:pPr>
            <w:r w:rsidRPr="007B40AB">
              <w:rPr>
                <w:rFonts w:eastAsia="Times New Roman" w:cstheme="minorHAnsi"/>
                <w:color w:val="000000"/>
                <w:kern w:val="0"/>
                <w:sz w:val="20"/>
                <w:szCs w:val="20"/>
                <w:lang w:val="en-US" w:eastAsia="it-IT"/>
                <w14:ligatures w14:val="none"/>
              </w:rPr>
              <w:t>≥ 18</w:t>
            </w:r>
          </w:p>
        </w:tc>
        <w:tc>
          <w:tcPr>
            <w:tcW w:w="1843" w:type="dxa"/>
            <w:vAlign w:val="center"/>
          </w:tcPr>
          <w:p w14:paraId="13C80EF4" w14:textId="77777777" w:rsidR="00E0319A" w:rsidRPr="007B40AB" w:rsidRDefault="00E0319A" w:rsidP="00E0319A">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230</w:t>
            </w:r>
          </w:p>
        </w:tc>
        <w:tc>
          <w:tcPr>
            <w:tcW w:w="3118" w:type="dxa"/>
            <w:vAlign w:val="center"/>
          </w:tcPr>
          <w:p w14:paraId="7CF2674D" w14:textId="77777777" w:rsidR="00E0319A" w:rsidRPr="007B40AB" w:rsidRDefault="00E0319A" w:rsidP="00E0158D">
            <w:pPr>
              <w:spacing w:after="0" w:line="240" w:lineRule="auto"/>
              <w:jc w:val="both"/>
              <w:rPr>
                <w:rFonts w:eastAsia="Times New Roman" w:cstheme="minorHAnsi"/>
                <w:color w:val="000000"/>
                <w:sz w:val="20"/>
                <w:szCs w:val="20"/>
                <w:lang w:val="en-US" w:eastAsia="it-IT"/>
              </w:rPr>
            </w:pPr>
            <w:r w:rsidRPr="007B40AB">
              <w:rPr>
                <w:rFonts w:eastAsia="Times New Roman" w:cstheme="minorHAnsi"/>
                <w:color w:val="000000"/>
                <w:sz w:val="20"/>
                <w:szCs w:val="20"/>
                <w:lang w:val="en-US" w:eastAsia="it-IT"/>
              </w:rPr>
              <w:t>Percentage of participants with adverse events occurring during treatment, and percentage of treatment discontinuation due to adverse events, from baseline to the end of the study (mean expected follow-up of 20 months)</w:t>
            </w:r>
          </w:p>
        </w:tc>
        <w:tc>
          <w:tcPr>
            <w:tcW w:w="3969" w:type="dxa"/>
            <w:shd w:val="clear" w:color="auto" w:fill="auto"/>
            <w:noWrap/>
            <w:vAlign w:val="center"/>
          </w:tcPr>
          <w:p w14:paraId="7A71EBCE" w14:textId="77777777" w:rsidR="00E0319A" w:rsidRPr="007B40AB" w:rsidRDefault="00E0319A" w:rsidP="00E0158D">
            <w:pPr>
              <w:spacing w:after="0" w:line="240" w:lineRule="auto"/>
              <w:rPr>
                <w:sz w:val="20"/>
                <w:szCs w:val="20"/>
                <w:lang w:val="en-US"/>
              </w:rPr>
            </w:pPr>
            <w:r>
              <w:rPr>
                <w:sz w:val="20"/>
                <w:szCs w:val="20"/>
                <w:lang w:val="en-US"/>
              </w:rPr>
              <w:t>Not available</w:t>
            </w:r>
          </w:p>
        </w:tc>
        <w:tc>
          <w:tcPr>
            <w:tcW w:w="1276" w:type="dxa"/>
            <w:shd w:val="clear" w:color="auto" w:fill="auto"/>
            <w:noWrap/>
            <w:vAlign w:val="center"/>
          </w:tcPr>
          <w:p w14:paraId="7F704155" w14:textId="77777777" w:rsidR="00E0319A" w:rsidRPr="007B40AB" w:rsidRDefault="00E0319A" w:rsidP="00E0158D">
            <w:pPr>
              <w:spacing w:after="0" w:line="240" w:lineRule="auto"/>
              <w:jc w:val="both"/>
              <w:rPr>
                <w:rFonts w:ascii="Calibri" w:eastAsia="Times New Roman" w:hAnsi="Calibri" w:cs="Calibri"/>
                <w:color w:val="000000"/>
                <w:kern w:val="0"/>
                <w:sz w:val="20"/>
                <w:szCs w:val="20"/>
                <w:lang w:val="en-US" w:eastAsia="it-IT"/>
                <w14:ligatures w14:val="none"/>
              </w:rPr>
            </w:pPr>
            <w:proofErr w:type="spellStart"/>
            <w:r w:rsidRPr="007B40AB">
              <w:rPr>
                <w:rFonts w:cstheme="minorHAnsi"/>
                <w:sz w:val="20"/>
                <w:szCs w:val="20"/>
              </w:rPr>
              <w:t>Ongoing</w:t>
            </w:r>
            <w:proofErr w:type="spellEnd"/>
          </w:p>
        </w:tc>
      </w:tr>
      <w:tr w:rsidR="00E0319A" w:rsidRPr="008D6439" w14:paraId="25732FE3" w14:textId="77777777" w:rsidTr="00E0319A">
        <w:trPr>
          <w:trHeight w:val="285"/>
        </w:trPr>
        <w:tc>
          <w:tcPr>
            <w:tcW w:w="2269" w:type="dxa"/>
            <w:shd w:val="clear" w:color="auto" w:fill="auto"/>
            <w:noWrap/>
            <w:vAlign w:val="center"/>
          </w:tcPr>
          <w:p w14:paraId="3255B7DD" w14:textId="0248DED5" w:rsidR="00E0319A" w:rsidRPr="007B40AB" w:rsidRDefault="00E0319A" w:rsidP="00E0158D">
            <w:pPr>
              <w:spacing w:after="0" w:line="240" w:lineRule="auto"/>
              <w:jc w:val="both"/>
              <w:rPr>
                <w:rFonts w:ascii="Calibri" w:hAnsi="Calibri" w:cs="Calibri"/>
                <w:color w:val="000000"/>
                <w:sz w:val="20"/>
                <w:szCs w:val="20"/>
                <w:lang w:val="en-US"/>
              </w:rPr>
            </w:pPr>
            <w:r w:rsidRPr="00347A8F">
              <w:rPr>
                <w:rFonts w:cstheme="minorHAnsi"/>
                <w:color w:val="000000"/>
                <w:sz w:val="20"/>
                <w:szCs w:val="20"/>
                <w:lang w:val="en-US"/>
              </w:rPr>
              <w:t>NCT03971422</w:t>
            </w:r>
            <w:r w:rsidR="00FE3BFE">
              <w:rPr>
                <w:rFonts w:cstheme="minorHAnsi"/>
                <w:color w:val="000000"/>
                <w:sz w:val="20"/>
                <w:szCs w:val="20"/>
                <w:lang w:val="en-US"/>
              </w:rPr>
              <w:t xml:space="preserve"> [71]</w:t>
            </w:r>
          </w:p>
        </w:tc>
        <w:tc>
          <w:tcPr>
            <w:tcW w:w="764" w:type="dxa"/>
            <w:vAlign w:val="center"/>
          </w:tcPr>
          <w:p w14:paraId="1D7B547B" w14:textId="77777777" w:rsidR="00E0319A" w:rsidRPr="007B40AB" w:rsidRDefault="00E0319A" w:rsidP="00E0158D">
            <w:pPr>
              <w:spacing w:after="0" w:line="240" w:lineRule="auto"/>
              <w:rPr>
                <w:rFonts w:cstheme="minorHAnsi"/>
                <w:sz w:val="20"/>
                <w:szCs w:val="20"/>
              </w:rPr>
            </w:pPr>
            <w:r w:rsidRPr="007B40AB">
              <w:rPr>
                <w:rFonts w:cstheme="minorHAnsi"/>
                <w:sz w:val="20"/>
                <w:szCs w:val="20"/>
              </w:rPr>
              <w:t>III</w:t>
            </w:r>
          </w:p>
        </w:tc>
        <w:tc>
          <w:tcPr>
            <w:tcW w:w="1498" w:type="dxa"/>
            <w:shd w:val="clear" w:color="auto" w:fill="auto"/>
            <w:noWrap/>
            <w:vAlign w:val="center"/>
          </w:tcPr>
          <w:p w14:paraId="1F64B932" w14:textId="77777777" w:rsidR="00E0319A" w:rsidRPr="007B40AB" w:rsidRDefault="00E0319A" w:rsidP="00E0158D">
            <w:pPr>
              <w:spacing w:after="0" w:line="240" w:lineRule="auto"/>
              <w:rPr>
                <w:rFonts w:eastAsia="Times New Roman" w:cstheme="minorHAnsi"/>
                <w:color w:val="000000"/>
                <w:kern w:val="0"/>
                <w:sz w:val="20"/>
                <w:szCs w:val="20"/>
                <w:lang w:val="en-US" w:eastAsia="it-IT"/>
                <w14:ligatures w14:val="none"/>
              </w:rPr>
            </w:pPr>
            <w:proofErr w:type="spellStart"/>
            <w:r w:rsidRPr="007B40AB">
              <w:rPr>
                <w:rFonts w:cstheme="minorHAnsi"/>
                <w:sz w:val="20"/>
                <w:szCs w:val="20"/>
              </w:rPr>
              <w:t>Rozanolixizumab</w:t>
            </w:r>
            <w:proofErr w:type="spellEnd"/>
          </w:p>
        </w:tc>
        <w:tc>
          <w:tcPr>
            <w:tcW w:w="1707" w:type="dxa"/>
            <w:shd w:val="clear" w:color="auto" w:fill="auto"/>
            <w:noWrap/>
            <w:vAlign w:val="center"/>
          </w:tcPr>
          <w:p w14:paraId="762163B7" w14:textId="46C9ABB0" w:rsidR="00E0319A" w:rsidRPr="007B40AB" w:rsidRDefault="00E0319A" w:rsidP="00E0158D">
            <w:pPr>
              <w:spacing w:after="0" w:line="240" w:lineRule="auto"/>
              <w:rPr>
                <w:rFonts w:ascii="Calibri" w:eastAsia="Times New Roman" w:hAnsi="Calibri" w:cs="Calibri"/>
                <w:color w:val="000000"/>
                <w:kern w:val="0"/>
                <w:sz w:val="20"/>
                <w:szCs w:val="20"/>
                <w:lang w:val="en-US" w:eastAsia="it-IT"/>
                <w14:ligatures w14:val="none"/>
              </w:rPr>
            </w:pPr>
            <w:r w:rsidRPr="007B40AB">
              <w:rPr>
                <w:rFonts w:eastAsia="Times New Roman" w:cstheme="minorHAnsi"/>
                <w:color w:val="000000"/>
                <w:kern w:val="0"/>
                <w:sz w:val="20"/>
                <w:szCs w:val="20"/>
                <w:lang w:val="en-US" w:eastAsia="it-IT"/>
                <w14:ligatures w14:val="none"/>
              </w:rPr>
              <w:t>≥ 18</w:t>
            </w:r>
          </w:p>
        </w:tc>
        <w:tc>
          <w:tcPr>
            <w:tcW w:w="1843" w:type="dxa"/>
            <w:vAlign w:val="center"/>
          </w:tcPr>
          <w:p w14:paraId="79FB584A" w14:textId="77777777" w:rsidR="00E0319A" w:rsidRPr="007B40AB" w:rsidRDefault="00E0319A" w:rsidP="00E0319A">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200</w:t>
            </w:r>
          </w:p>
        </w:tc>
        <w:tc>
          <w:tcPr>
            <w:tcW w:w="3118" w:type="dxa"/>
            <w:vAlign w:val="center"/>
          </w:tcPr>
          <w:p w14:paraId="3A7715FB" w14:textId="77777777" w:rsidR="00E0319A" w:rsidRPr="007B40AB" w:rsidRDefault="00E0319A" w:rsidP="00E0158D">
            <w:pPr>
              <w:spacing w:after="0" w:line="240" w:lineRule="auto"/>
              <w:jc w:val="both"/>
              <w:rPr>
                <w:rFonts w:eastAsia="Times New Roman" w:cstheme="minorHAnsi"/>
                <w:color w:val="000000"/>
                <w:sz w:val="20"/>
                <w:szCs w:val="20"/>
                <w:lang w:val="en-US" w:eastAsia="it-IT"/>
              </w:rPr>
            </w:pPr>
            <w:r w:rsidRPr="007B40AB">
              <w:rPr>
                <w:rFonts w:eastAsia="Times New Roman" w:cstheme="minorHAnsi"/>
                <w:color w:val="000000"/>
                <w:sz w:val="20"/>
                <w:szCs w:val="20"/>
                <w:lang w:val="en-US" w:eastAsia="it-IT"/>
              </w:rPr>
              <w:t>Change in total score of the MG-ADL scale from baseline to day 43.</w:t>
            </w:r>
          </w:p>
        </w:tc>
        <w:tc>
          <w:tcPr>
            <w:tcW w:w="3969" w:type="dxa"/>
            <w:shd w:val="clear" w:color="auto" w:fill="auto"/>
            <w:noWrap/>
            <w:vAlign w:val="center"/>
          </w:tcPr>
          <w:p w14:paraId="059304D8" w14:textId="2170CA07" w:rsidR="00E0319A" w:rsidRDefault="00E0319A" w:rsidP="00E0158D">
            <w:pPr>
              <w:spacing w:after="0" w:line="240" w:lineRule="auto"/>
              <w:rPr>
                <w:rFonts w:eastAsia="Times New Roman" w:cstheme="minorHAnsi"/>
                <w:color w:val="000000"/>
                <w:sz w:val="20"/>
                <w:szCs w:val="20"/>
                <w:lang w:val="en-US" w:eastAsia="it-IT"/>
              </w:rPr>
            </w:pPr>
            <w:r>
              <w:rPr>
                <w:sz w:val="20"/>
                <w:szCs w:val="20"/>
                <w:lang w:val="en-US"/>
              </w:rPr>
              <w:t xml:space="preserve">The </w:t>
            </w:r>
            <w:r w:rsidR="00A37EAC">
              <w:rPr>
                <w:sz w:val="20"/>
                <w:szCs w:val="20"/>
                <w:lang w:val="en-US"/>
              </w:rPr>
              <w:t>c</w:t>
            </w:r>
            <w:r w:rsidRPr="007B40AB">
              <w:rPr>
                <w:rFonts w:eastAsia="Times New Roman" w:cstheme="minorHAnsi"/>
                <w:color w:val="000000"/>
                <w:sz w:val="20"/>
                <w:szCs w:val="20"/>
                <w:lang w:val="en-US" w:eastAsia="it-IT"/>
              </w:rPr>
              <w:t>hange in total score of the MG-ADL scale from baseline to day 43</w:t>
            </w:r>
            <w:r>
              <w:rPr>
                <w:rFonts w:eastAsia="Times New Roman" w:cstheme="minorHAnsi"/>
                <w:color w:val="000000"/>
                <w:sz w:val="20"/>
                <w:szCs w:val="20"/>
                <w:lang w:val="en-US" w:eastAsia="it-IT"/>
              </w:rPr>
              <w:t xml:space="preserve"> was as follows: </w:t>
            </w:r>
          </w:p>
          <w:p w14:paraId="742D90F5" w14:textId="77777777" w:rsidR="00E0319A" w:rsidRPr="007B40AB" w:rsidRDefault="00E0319A" w:rsidP="00E0158D">
            <w:pPr>
              <w:spacing w:after="0" w:line="240" w:lineRule="auto"/>
              <w:rPr>
                <w:sz w:val="20"/>
                <w:szCs w:val="20"/>
                <w:lang w:val="en-US"/>
              </w:rPr>
            </w:pPr>
            <w:r>
              <w:rPr>
                <w:sz w:val="20"/>
                <w:szCs w:val="20"/>
                <w:lang w:val="en-US"/>
              </w:rPr>
              <w:t xml:space="preserve">Placebo: </w:t>
            </w:r>
            <w:r w:rsidRPr="002C3903">
              <w:rPr>
                <w:sz w:val="20"/>
                <w:szCs w:val="20"/>
                <w:lang w:val="en-US"/>
              </w:rPr>
              <w:t>-0.784</w:t>
            </w:r>
            <w:r>
              <w:rPr>
                <w:sz w:val="20"/>
                <w:szCs w:val="20"/>
                <w:lang w:val="en-US"/>
              </w:rPr>
              <w:t xml:space="preserve"> </w:t>
            </w:r>
            <w:r w:rsidRPr="002C3903">
              <w:rPr>
                <w:sz w:val="20"/>
                <w:szCs w:val="20"/>
                <w:lang w:val="en-US"/>
              </w:rPr>
              <w:t>(0.488)</w:t>
            </w:r>
            <w:r>
              <w:rPr>
                <w:sz w:val="20"/>
                <w:szCs w:val="20"/>
                <w:lang w:val="en-US"/>
              </w:rPr>
              <w:t xml:space="preserve"> vs </w:t>
            </w:r>
            <w:proofErr w:type="spellStart"/>
            <w:r>
              <w:rPr>
                <w:sz w:val="20"/>
                <w:szCs w:val="20"/>
                <w:lang w:val="en-US"/>
              </w:rPr>
              <w:t>rozanolixizumab</w:t>
            </w:r>
            <w:proofErr w:type="spellEnd"/>
            <w:r>
              <w:rPr>
                <w:sz w:val="20"/>
                <w:szCs w:val="20"/>
                <w:lang w:val="en-US"/>
              </w:rPr>
              <w:t xml:space="preserve"> 7 mg/kg: -</w:t>
            </w:r>
            <w:r w:rsidRPr="002C3903">
              <w:rPr>
                <w:sz w:val="20"/>
                <w:szCs w:val="20"/>
                <w:lang w:val="en-US"/>
              </w:rPr>
              <w:t>3.370</w:t>
            </w:r>
            <w:r>
              <w:rPr>
                <w:sz w:val="20"/>
                <w:szCs w:val="20"/>
                <w:lang w:val="en-US"/>
              </w:rPr>
              <w:t xml:space="preserve"> </w:t>
            </w:r>
            <w:r w:rsidRPr="002C3903">
              <w:rPr>
                <w:sz w:val="20"/>
                <w:szCs w:val="20"/>
                <w:lang w:val="en-US"/>
              </w:rPr>
              <w:t>(0.486)</w:t>
            </w:r>
            <w:r>
              <w:rPr>
                <w:sz w:val="20"/>
                <w:szCs w:val="20"/>
                <w:lang w:val="en-US"/>
              </w:rPr>
              <w:t xml:space="preserve"> vs </w:t>
            </w:r>
            <w:proofErr w:type="spellStart"/>
            <w:r>
              <w:rPr>
                <w:sz w:val="20"/>
                <w:szCs w:val="20"/>
                <w:lang w:val="en-US"/>
              </w:rPr>
              <w:t>rozanolixizumab</w:t>
            </w:r>
            <w:proofErr w:type="spellEnd"/>
            <w:r>
              <w:rPr>
                <w:sz w:val="20"/>
                <w:szCs w:val="20"/>
                <w:lang w:val="en-US"/>
              </w:rPr>
              <w:t xml:space="preserve"> 10 mg/kg: </w:t>
            </w:r>
            <w:r w:rsidRPr="002C3903">
              <w:rPr>
                <w:sz w:val="20"/>
                <w:szCs w:val="20"/>
                <w:lang w:val="en-US"/>
              </w:rPr>
              <w:t>-3.403</w:t>
            </w:r>
            <w:r>
              <w:rPr>
                <w:sz w:val="20"/>
                <w:szCs w:val="20"/>
                <w:lang w:val="en-US"/>
              </w:rPr>
              <w:t xml:space="preserve"> </w:t>
            </w:r>
            <w:r w:rsidRPr="002C3903">
              <w:rPr>
                <w:sz w:val="20"/>
                <w:szCs w:val="20"/>
                <w:lang w:val="en-US"/>
              </w:rPr>
              <w:t>(0.494)</w:t>
            </w:r>
          </w:p>
        </w:tc>
        <w:tc>
          <w:tcPr>
            <w:tcW w:w="1276" w:type="dxa"/>
            <w:shd w:val="clear" w:color="auto" w:fill="auto"/>
            <w:noWrap/>
            <w:vAlign w:val="center"/>
          </w:tcPr>
          <w:p w14:paraId="131EF394" w14:textId="77777777" w:rsidR="00E0319A" w:rsidRPr="007B40AB" w:rsidRDefault="00E0319A" w:rsidP="00E0158D">
            <w:pPr>
              <w:spacing w:after="0" w:line="240" w:lineRule="auto"/>
              <w:jc w:val="both"/>
              <w:rPr>
                <w:rFonts w:ascii="Calibri" w:eastAsia="Times New Roman" w:hAnsi="Calibri" w:cs="Calibri"/>
                <w:color w:val="000000"/>
                <w:kern w:val="0"/>
                <w:sz w:val="20"/>
                <w:szCs w:val="20"/>
                <w:lang w:val="en-US" w:eastAsia="it-IT"/>
                <w14:ligatures w14:val="none"/>
              </w:rPr>
            </w:pPr>
            <w:proofErr w:type="spellStart"/>
            <w:r w:rsidRPr="007B40AB">
              <w:rPr>
                <w:rFonts w:cstheme="minorHAnsi"/>
                <w:sz w:val="20"/>
                <w:szCs w:val="20"/>
              </w:rPr>
              <w:t>Completed</w:t>
            </w:r>
            <w:proofErr w:type="spellEnd"/>
          </w:p>
        </w:tc>
      </w:tr>
      <w:tr w:rsidR="00E0319A" w:rsidRPr="008D6439" w14:paraId="6F68A09F" w14:textId="77777777" w:rsidTr="00E0319A">
        <w:trPr>
          <w:trHeight w:val="285"/>
        </w:trPr>
        <w:tc>
          <w:tcPr>
            <w:tcW w:w="2269" w:type="dxa"/>
            <w:shd w:val="clear" w:color="auto" w:fill="auto"/>
            <w:noWrap/>
            <w:vAlign w:val="center"/>
          </w:tcPr>
          <w:p w14:paraId="4F00D701" w14:textId="1B85BDE7" w:rsidR="00E0319A" w:rsidRPr="007B40AB" w:rsidRDefault="00E0319A" w:rsidP="00E0158D">
            <w:pPr>
              <w:spacing w:after="0" w:line="240" w:lineRule="auto"/>
              <w:jc w:val="both"/>
              <w:rPr>
                <w:rFonts w:ascii="Calibri" w:hAnsi="Calibri" w:cs="Calibri"/>
                <w:color w:val="000000"/>
                <w:sz w:val="20"/>
                <w:szCs w:val="20"/>
                <w:lang w:val="en-US"/>
              </w:rPr>
            </w:pPr>
            <w:r w:rsidRPr="00347A8F">
              <w:rPr>
                <w:rFonts w:cstheme="minorHAnsi"/>
                <w:color w:val="000000"/>
                <w:sz w:val="20"/>
                <w:szCs w:val="20"/>
                <w:lang w:val="en-US"/>
              </w:rPr>
              <w:t>NCT04124965</w:t>
            </w:r>
            <w:r w:rsidR="00FE3BFE">
              <w:rPr>
                <w:rFonts w:cstheme="minorHAnsi"/>
                <w:color w:val="000000"/>
                <w:sz w:val="20"/>
                <w:szCs w:val="20"/>
                <w:lang w:val="en-US"/>
              </w:rPr>
              <w:t xml:space="preserve"> [109]</w:t>
            </w:r>
          </w:p>
        </w:tc>
        <w:tc>
          <w:tcPr>
            <w:tcW w:w="764" w:type="dxa"/>
            <w:vAlign w:val="center"/>
          </w:tcPr>
          <w:p w14:paraId="6E451C66" w14:textId="77777777" w:rsidR="00E0319A" w:rsidRPr="007B40AB" w:rsidRDefault="00E0319A" w:rsidP="00E0158D">
            <w:pPr>
              <w:spacing w:after="0" w:line="240" w:lineRule="auto"/>
              <w:rPr>
                <w:rFonts w:cstheme="minorHAnsi"/>
                <w:sz w:val="20"/>
                <w:szCs w:val="20"/>
              </w:rPr>
            </w:pPr>
            <w:r w:rsidRPr="007B40AB">
              <w:rPr>
                <w:rFonts w:cstheme="minorHAnsi"/>
                <w:sz w:val="20"/>
                <w:szCs w:val="20"/>
              </w:rPr>
              <w:t>III</w:t>
            </w:r>
          </w:p>
        </w:tc>
        <w:tc>
          <w:tcPr>
            <w:tcW w:w="1498" w:type="dxa"/>
            <w:shd w:val="clear" w:color="auto" w:fill="auto"/>
            <w:noWrap/>
            <w:vAlign w:val="center"/>
          </w:tcPr>
          <w:p w14:paraId="6C5F697E" w14:textId="77777777" w:rsidR="00E0319A" w:rsidRPr="007B40AB" w:rsidRDefault="00E0319A" w:rsidP="00E0158D">
            <w:pPr>
              <w:spacing w:after="0" w:line="240" w:lineRule="auto"/>
              <w:rPr>
                <w:rFonts w:eastAsia="Times New Roman" w:cstheme="minorHAnsi"/>
                <w:color w:val="000000"/>
                <w:kern w:val="0"/>
                <w:sz w:val="20"/>
                <w:szCs w:val="20"/>
                <w:lang w:val="en-US" w:eastAsia="it-IT"/>
                <w14:ligatures w14:val="none"/>
              </w:rPr>
            </w:pPr>
            <w:proofErr w:type="spellStart"/>
            <w:r w:rsidRPr="007B40AB">
              <w:rPr>
                <w:rFonts w:cstheme="minorHAnsi"/>
                <w:sz w:val="20"/>
                <w:szCs w:val="20"/>
              </w:rPr>
              <w:t>Rozanolixizumab</w:t>
            </w:r>
            <w:proofErr w:type="spellEnd"/>
          </w:p>
        </w:tc>
        <w:tc>
          <w:tcPr>
            <w:tcW w:w="1707" w:type="dxa"/>
            <w:shd w:val="clear" w:color="auto" w:fill="auto"/>
            <w:noWrap/>
            <w:vAlign w:val="center"/>
          </w:tcPr>
          <w:p w14:paraId="235EEB1B" w14:textId="41CC5122" w:rsidR="00E0319A" w:rsidRPr="007B40AB" w:rsidRDefault="00E0319A" w:rsidP="00E0158D">
            <w:pPr>
              <w:spacing w:after="0" w:line="240" w:lineRule="auto"/>
              <w:rPr>
                <w:rFonts w:ascii="Calibri" w:eastAsia="Times New Roman" w:hAnsi="Calibri" w:cs="Calibri"/>
                <w:color w:val="000000"/>
                <w:kern w:val="0"/>
                <w:sz w:val="20"/>
                <w:szCs w:val="20"/>
                <w:lang w:val="en-US" w:eastAsia="it-IT"/>
                <w14:ligatures w14:val="none"/>
              </w:rPr>
            </w:pPr>
            <w:r w:rsidRPr="007B40AB">
              <w:rPr>
                <w:rFonts w:eastAsia="Times New Roman" w:cstheme="minorHAnsi"/>
                <w:color w:val="000000"/>
                <w:kern w:val="0"/>
                <w:sz w:val="20"/>
                <w:szCs w:val="20"/>
                <w:lang w:val="en-US" w:eastAsia="it-IT"/>
                <w14:ligatures w14:val="none"/>
              </w:rPr>
              <w:t>≥ 18</w:t>
            </w:r>
          </w:p>
        </w:tc>
        <w:tc>
          <w:tcPr>
            <w:tcW w:w="1843" w:type="dxa"/>
            <w:vAlign w:val="center"/>
          </w:tcPr>
          <w:p w14:paraId="0B6E26AE" w14:textId="77777777" w:rsidR="00E0319A" w:rsidRPr="007B40AB" w:rsidRDefault="00E0319A" w:rsidP="00E0319A">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92</w:t>
            </w:r>
          </w:p>
        </w:tc>
        <w:tc>
          <w:tcPr>
            <w:tcW w:w="3118" w:type="dxa"/>
            <w:vAlign w:val="center"/>
          </w:tcPr>
          <w:p w14:paraId="1BCE99B6" w14:textId="77777777" w:rsidR="00E0319A" w:rsidRPr="007B40AB" w:rsidRDefault="00E0319A" w:rsidP="00E0158D">
            <w:pPr>
              <w:spacing w:after="0" w:line="240" w:lineRule="auto"/>
              <w:jc w:val="both"/>
              <w:rPr>
                <w:rFonts w:eastAsia="Times New Roman" w:cstheme="minorHAnsi"/>
                <w:color w:val="000000"/>
                <w:sz w:val="20"/>
                <w:szCs w:val="20"/>
                <w:lang w:val="en-US" w:eastAsia="it-IT"/>
              </w:rPr>
            </w:pPr>
            <w:r w:rsidRPr="007B40AB">
              <w:rPr>
                <w:rFonts w:eastAsia="Times New Roman" w:cstheme="minorHAnsi"/>
                <w:color w:val="000000"/>
                <w:sz w:val="20"/>
                <w:szCs w:val="20"/>
                <w:lang w:val="en-US" w:eastAsia="it-IT"/>
              </w:rPr>
              <w:t xml:space="preserve">Percentage of participants with </w:t>
            </w:r>
            <w:r>
              <w:rPr>
                <w:rFonts w:eastAsia="Times New Roman" w:cstheme="minorHAnsi"/>
                <w:color w:val="000000"/>
                <w:sz w:val="20"/>
                <w:szCs w:val="20"/>
                <w:lang w:val="en-US" w:eastAsia="it-IT"/>
              </w:rPr>
              <w:t xml:space="preserve">treatment-emergent </w:t>
            </w:r>
            <w:r w:rsidRPr="007B40AB">
              <w:rPr>
                <w:rFonts w:eastAsia="Times New Roman" w:cstheme="minorHAnsi"/>
                <w:color w:val="000000"/>
                <w:sz w:val="20"/>
                <w:szCs w:val="20"/>
                <w:lang w:val="en-US" w:eastAsia="it-IT"/>
              </w:rPr>
              <w:t>adverse event</w:t>
            </w:r>
            <w:r>
              <w:rPr>
                <w:rFonts w:eastAsia="Times New Roman" w:cstheme="minorHAnsi"/>
                <w:color w:val="000000"/>
                <w:sz w:val="20"/>
                <w:szCs w:val="20"/>
                <w:lang w:val="en-US" w:eastAsia="it-IT"/>
              </w:rPr>
              <w:t>s</w:t>
            </w:r>
            <w:r w:rsidRPr="007B40AB">
              <w:rPr>
                <w:rFonts w:eastAsia="Times New Roman" w:cstheme="minorHAnsi"/>
                <w:color w:val="000000"/>
                <w:sz w:val="20"/>
                <w:szCs w:val="20"/>
                <w:lang w:val="en-US" w:eastAsia="it-IT"/>
              </w:rPr>
              <w:t>, from baseline to week 60</w:t>
            </w:r>
          </w:p>
        </w:tc>
        <w:tc>
          <w:tcPr>
            <w:tcW w:w="3969" w:type="dxa"/>
            <w:shd w:val="clear" w:color="auto" w:fill="auto"/>
            <w:noWrap/>
            <w:vAlign w:val="center"/>
          </w:tcPr>
          <w:p w14:paraId="5FEB8CF1" w14:textId="77777777" w:rsidR="00E0319A" w:rsidRPr="000F7F17" w:rsidRDefault="00E0319A" w:rsidP="00E0319A">
            <w:pPr>
              <w:spacing w:after="0" w:line="240" w:lineRule="auto"/>
              <w:jc w:val="both"/>
              <w:rPr>
                <w:sz w:val="20"/>
                <w:szCs w:val="20"/>
                <w:lang w:val="en-US"/>
              </w:rPr>
            </w:pPr>
            <w:r>
              <w:rPr>
                <w:sz w:val="20"/>
                <w:szCs w:val="20"/>
                <w:lang w:val="en-US"/>
              </w:rPr>
              <w:t xml:space="preserve">The percentage of patients experiencing at least one treatment-emergent adverse event was 76.0% for patients receiving </w:t>
            </w:r>
            <w:proofErr w:type="spellStart"/>
            <w:r>
              <w:rPr>
                <w:sz w:val="20"/>
                <w:szCs w:val="20"/>
                <w:lang w:val="en-US"/>
              </w:rPr>
              <w:t>r</w:t>
            </w:r>
            <w:r w:rsidRPr="000F7F17">
              <w:rPr>
                <w:sz w:val="20"/>
                <w:szCs w:val="20"/>
                <w:lang w:val="en-US"/>
              </w:rPr>
              <w:t>ozanolixizumab</w:t>
            </w:r>
            <w:proofErr w:type="spellEnd"/>
            <w:r>
              <w:rPr>
                <w:sz w:val="20"/>
                <w:szCs w:val="20"/>
                <w:lang w:val="en-US"/>
              </w:rPr>
              <w:t xml:space="preserve"> </w:t>
            </w:r>
            <w:r w:rsidRPr="000F7F17">
              <w:rPr>
                <w:sz w:val="20"/>
                <w:szCs w:val="20"/>
                <w:lang w:val="en-US"/>
              </w:rPr>
              <w:t>7 mg/kg</w:t>
            </w:r>
            <w:r>
              <w:rPr>
                <w:sz w:val="20"/>
                <w:szCs w:val="20"/>
                <w:lang w:val="en-US"/>
              </w:rPr>
              <w:t xml:space="preserve"> and 78.6% for patients treated with </w:t>
            </w:r>
            <w:proofErr w:type="spellStart"/>
            <w:r>
              <w:rPr>
                <w:sz w:val="20"/>
                <w:szCs w:val="20"/>
                <w:lang w:val="en-US"/>
              </w:rPr>
              <w:t>r</w:t>
            </w:r>
            <w:r w:rsidRPr="000F7F17">
              <w:rPr>
                <w:sz w:val="20"/>
                <w:szCs w:val="20"/>
                <w:lang w:val="en-US"/>
              </w:rPr>
              <w:t>ozanolixizumab</w:t>
            </w:r>
            <w:proofErr w:type="spellEnd"/>
            <w:r w:rsidRPr="000F7F17">
              <w:rPr>
                <w:sz w:val="20"/>
                <w:szCs w:val="20"/>
                <w:lang w:val="en-US"/>
              </w:rPr>
              <w:t xml:space="preserve"> 10</w:t>
            </w:r>
            <w:r>
              <w:rPr>
                <w:sz w:val="20"/>
                <w:szCs w:val="20"/>
                <w:lang w:val="en-US"/>
              </w:rPr>
              <w:t xml:space="preserve"> </w:t>
            </w:r>
            <w:r w:rsidRPr="000F7F17">
              <w:rPr>
                <w:sz w:val="20"/>
                <w:szCs w:val="20"/>
                <w:lang w:val="en-US"/>
              </w:rPr>
              <w:t>mg/kg</w:t>
            </w:r>
            <w:r>
              <w:rPr>
                <w:sz w:val="20"/>
                <w:szCs w:val="20"/>
                <w:lang w:val="en-US"/>
              </w:rPr>
              <w:t xml:space="preserve"> </w:t>
            </w:r>
          </w:p>
        </w:tc>
        <w:tc>
          <w:tcPr>
            <w:tcW w:w="1276" w:type="dxa"/>
            <w:shd w:val="clear" w:color="auto" w:fill="auto"/>
            <w:noWrap/>
            <w:vAlign w:val="center"/>
          </w:tcPr>
          <w:p w14:paraId="6A8AF1BC" w14:textId="77777777" w:rsidR="00E0319A" w:rsidRPr="007B40AB" w:rsidRDefault="00E0319A" w:rsidP="00E0158D">
            <w:pPr>
              <w:spacing w:after="0" w:line="240" w:lineRule="auto"/>
              <w:jc w:val="both"/>
              <w:rPr>
                <w:rFonts w:ascii="Calibri" w:eastAsia="Times New Roman" w:hAnsi="Calibri" w:cs="Calibri"/>
                <w:color w:val="000000"/>
                <w:kern w:val="0"/>
                <w:sz w:val="20"/>
                <w:szCs w:val="20"/>
                <w:lang w:val="en-US" w:eastAsia="it-IT"/>
                <w14:ligatures w14:val="none"/>
              </w:rPr>
            </w:pPr>
            <w:proofErr w:type="spellStart"/>
            <w:r w:rsidRPr="007B40AB">
              <w:rPr>
                <w:rFonts w:cstheme="minorHAnsi"/>
                <w:sz w:val="20"/>
                <w:szCs w:val="20"/>
              </w:rPr>
              <w:t>Completed</w:t>
            </w:r>
            <w:proofErr w:type="spellEnd"/>
          </w:p>
        </w:tc>
      </w:tr>
      <w:tr w:rsidR="00E0319A" w:rsidRPr="008D6439" w14:paraId="662B6A69" w14:textId="77777777" w:rsidTr="00E0319A">
        <w:trPr>
          <w:trHeight w:val="285"/>
        </w:trPr>
        <w:tc>
          <w:tcPr>
            <w:tcW w:w="2269" w:type="dxa"/>
            <w:shd w:val="clear" w:color="auto" w:fill="auto"/>
            <w:noWrap/>
            <w:vAlign w:val="center"/>
          </w:tcPr>
          <w:p w14:paraId="1BE6E01C" w14:textId="259DCE3D" w:rsidR="00E0319A" w:rsidRPr="007B40AB" w:rsidRDefault="00E0319A" w:rsidP="00E0158D">
            <w:pPr>
              <w:spacing w:after="0" w:line="240" w:lineRule="auto"/>
              <w:jc w:val="both"/>
              <w:rPr>
                <w:rFonts w:ascii="Calibri" w:hAnsi="Calibri" w:cs="Calibri"/>
                <w:color w:val="000000"/>
                <w:sz w:val="20"/>
                <w:szCs w:val="20"/>
                <w:lang w:val="en-US"/>
              </w:rPr>
            </w:pPr>
            <w:r w:rsidRPr="00347A8F">
              <w:rPr>
                <w:rFonts w:cstheme="minorHAnsi"/>
                <w:color w:val="000000"/>
                <w:sz w:val="20"/>
                <w:szCs w:val="20"/>
                <w:lang w:val="en-US"/>
              </w:rPr>
              <w:t>NCT03052751</w:t>
            </w:r>
            <w:r w:rsidR="00FE3BFE">
              <w:rPr>
                <w:rFonts w:cstheme="minorHAnsi"/>
                <w:color w:val="000000"/>
                <w:sz w:val="20"/>
                <w:szCs w:val="20"/>
                <w:lang w:val="en-US"/>
              </w:rPr>
              <w:t xml:space="preserve"> [110]</w:t>
            </w:r>
          </w:p>
        </w:tc>
        <w:tc>
          <w:tcPr>
            <w:tcW w:w="764" w:type="dxa"/>
            <w:vAlign w:val="center"/>
          </w:tcPr>
          <w:p w14:paraId="03305ED4" w14:textId="77777777" w:rsidR="00E0319A" w:rsidRPr="007B40AB" w:rsidRDefault="00E0319A" w:rsidP="00E0158D">
            <w:pPr>
              <w:spacing w:after="0" w:line="240" w:lineRule="auto"/>
              <w:rPr>
                <w:rFonts w:cstheme="minorHAnsi"/>
                <w:sz w:val="20"/>
                <w:szCs w:val="20"/>
              </w:rPr>
            </w:pPr>
            <w:r w:rsidRPr="007B40AB">
              <w:rPr>
                <w:rFonts w:cstheme="minorHAnsi"/>
                <w:sz w:val="20"/>
                <w:szCs w:val="20"/>
              </w:rPr>
              <w:t>II</w:t>
            </w:r>
          </w:p>
        </w:tc>
        <w:tc>
          <w:tcPr>
            <w:tcW w:w="1498" w:type="dxa"/>
            <w:shd w:val="clear" w:color="auto" w:fill="auto"/>
            <w:noWrap/>
            <w:vAlign w:val="center"/>
          </w:tcPr>
          <w:p w14:paraId="71B29785" w14:textId="77777777" w:rsidR="00E0319A" w:rsidRPr="007B40AB" w:rsidRDefault="00E0319A" w:rsidP="00E0158D">
            <w:pPr>
              <w:spacing w:after="0" w:line="240" w:lineRule="auto"/>
              <w:rPr>
                <w:rFonts w:eastAsia="Times New Roman" w:cstheme="minorHAnsi"/>
                <w:color w:val="000000"/>
                <w:kern w:val="0"/>
                <w:sz w:val="20"/>
                <w:szCs w:val="20"/>
                <w:lang w:val="en-US" w:eastAsia="it-IT"/>
                <w14:ligatures w14:val="none"/>
              </w:rPr>
            </w:pPr>
            <w:proofErr w:type="spellStart"/>
            <w:r w:rsidRPr="007B40AB">
              <w:rPr>
                <w:rFonts w:cstheme="minorHAnsi"/>
                <w:sz w:val="20"/>
                <w:szCs w:val="20"/>
              </w:rPr>
              <w:t>Rozanolixizumab</w:t>
            </w:r>
            <w:proofErr w:type="spellEnd"/>
          </w:p>
        </w:tc>
        <w:tc>
          <w:tcPr>
            <w:tcW w:w="1707" w:type="dxa"/>
            <w:shd w:val="clear" w:color="auto" w:fill="auto"/>
            <w:noWrap/>
            <w:vAlign w:val="center"/>
          </w:tcPr>
          <w:p w14:paraId="6B6BC579" w14:textId="56516928" w:rsidR="00E0319A" w:rsidRPr="007B40AB" w:rsidRDefault="00E0319A" w:rsidP="00E0158D">
            <w:pPr>
              <w:spacing w:after="0" w:line="240" w:lineRule="auto"/>
              <w:rPr>
                <w:rFonts w:ascii="Calibri" w:eastAsia="Times New Roman" w:hAnsi="Calibri" w:cs="Calibri"/>
                <w:color w:val="000000"/>
                <w:kern w:val="0"/>
                <w:sz w:val="20"/>
                <w:szCs w:val="20"/>
                <w:lang w:val="en-US" w:eastAsia="it-IT"/>
                <w14:ligatures w14:val="none"/>
              </w:rPr>
            </w:pPr>
            <w:r w:rsidRPr="007B40AB">
              <w:rPr>
                <w:rFonts w:eastAsia="Times New Roman" w:cstheme="minorHAnsi"/>
                <w:color w:val="000000"/>
                <w:kern w:val="0"/>
                <w:sz w:val="20"/>
                <w:szCs w:val="20"/>
                <w:lang w:val="en-US" w:eastAsia="it-IT"/>
                <w14:ligatures w14:val="none"/>
              </w:rPr>
              <w:t>≥ 18</w:t>
            </w:r>
          </w:p>
        </w:tc>
        <w:tc>
          <w:tcPr>
            <w:tcW w:w="1843" w:type="dxa"/>
            <w:vAlign w:val="center"/>
          </w:tcPr>
          <w:p w14:paraId="2083A2FA" w14:textId="77777777" w:rsidR="00E0319A" w:rsidRPr="007B40AB" w:rsidRDefault="00E0319A" w:rsidP="00E0319A">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43</w:t>
            </w:r>
          </w:p>
        </w:tc>
        <w:tc>
          <w:tcPr>
            <w:tcW w:w="3118" w:type="dxa"/>
            <w:vAlign w:val="center"/>
          </w:tcPr>
          <w:p w14:paraId="75101993" w14:textId="77777777" w:rsidR="00E0319A" w:rsidRPr="007B40AB" w:rsidRDefault="00E0319A" w:rsidP="00E0158D">
            <w:pPr>
              <w:spacing w:after="0" w:line="240" w:lineRule="auto"/>
              <w:jc w:val="both"/>
              <w:rPr>
                <w:rFonts w:eastAsia="Times New Roman" w:cstheme="minorHAnsi"/>
                <w:color w:val="000000"/>
                <w:sz w:val="20"/>
                <w:szCs w:val="20"/>
                <w:lang w:val="en-US" w:eastAsia="it-IT"/>
              </w:rPr>
            </w:pPr>
            <w:r w:rsidRPr="007B40AB">
              <w:rPr>
                <w:rFonts w:eastAsia="Times New Roman" w:cstheme="minorHAnsi"/>
                <w:color w:val="000000"/>
                <w:sz w:val="20"/>
                <w:szCs w:val="20"/>
                <w:lang w:val="en-US" w:eastAsia="it-IT"/>
              </w:rPr>
              <w:t>Change in total score of the MG-ADL scale from baseline to day 29</w:t>
            </w:r>
          </w:p>
        </w:tc>
        <w:tc>
          <w:tcPr>
            <w:tcW w:w="3969" w:type="dxa"/>
            <w:shd w:val="clear" w:color="auto" w:fill="auto"/>
            <w:noWrap/>
            <w:vAlign w:val="center"/>
          </w:tcPr>
          <w:p w14:paraId="05B2048E" w14:textId="77777777" w:rsidR="00E0319A" w:rsidRPr="007B40AB" w:rsidRDefault="00E0319A" w:rsidP="00E0319A">
            <w:pPr>
              <w:spacing w:after="0" w:line="240" w:lineRule="auto"/>
              <w:jc w:val="both"/>
              <w:rPr>
                <w:sz w:val="20"/>
                <w:szCs w:val="20"/>
                <w:lang w:val="en-US"/>
              </w:rPr>
            </w:pPr>
            <w:r>
              <w:rPr>
                <w:sz w:val="20"/>
                <w:szCs w:val="20"/>
                <w:lang w:val="en-US"/>
              </w:rPr>
              <w:t>M</w:t>
            </w:r>
            <w:r w:rsidRPr="00800C8C">
              <w:rPr>
                <w:sz w:val="20"/>
                <w:szCs w:val="20"/>
                <w:lang w:val="en-US"/>
              </w:rPr>
              <w:t xml:space="preserve">ean change </w:t>
            </w:r>
            <w:r>
              <w:rPr>
                <w:sz w:val="20"/>
                <w:szCs w:val="20"/>
                <w:lang w:val="en-US"/>
              </w:rPr>
              <w:t xml:space="preserve">in total score of the MG-ADL scale </w:t>
            </w:r>
            <w:r w:rsidRPr="00800C8C">
              <w:rPr>
                <w:sz w:val="20"/>
                <w:szCs w:val="20"/>
                <w:lang w:val="en-US"/>
              </w:rPr>
              <w:t xml:space="preserve">from baseline to day 29 for </w:t>
            </w:r>
            <w:proofErr w:type="spellStart"/>
            <w:r w:rsidRPr="00800C8C">
              <w:rPr>
                <w:sz w:val="20"/>
                <w:szCs w:val="20"/>
                <w:lang w:val="en-US"/>
              </w:rPr>
              <w:t>rozanolixizumab</w:t>
            </w:r>
            <w:proofErr w:type="spellEnd"/>
            <w:r w:rsidRPr="00800C8C">
              <w:rPr>
                <w:sz w:val="20"/>
                <w:szCs w:val="20"/>
                <w:lang w:val="en-US"/>
              </w:rPr>
              <w:t xml:space="preserve"> vs placebo was −1.8 vs −0.4, difference −1.4, 95%</w:t>
            </w:r>
            <w:r>
              <w:rPr>
                <w:sz w:val="20"/>
                <w:szCs w:val="20"/>
                <w:lang w:val="en-US"/>
              </w:rPr>
              <w:t xml:space="preserve"> upper confidence limit</w:t>
            </w:r>
            <w:r w:rsidRPr="00800C8C">
              <w:rPr>
                <w:sz w:val="20"/>
                <w:szCs w:val="20"/>
                <w:lang w:val="en-US"/>
              </w:rPr>
              <w:t xml:space="preserve"> −0.4). </w:t>
            </w:r>
            <w:r>
              <w:rPr>
                <w:sz w:val="20"/>
                <w:szCs w:val="20"/>
                <w:lang w:val="en-US"/>
              </w:rPr>
              <w:t>T</w:t>
            </w:r>
            <w:r w:rsidRPr="00800C8C">
              <w:rPr>
                <w:sz w:val="20"/>
                <w:szCs w:val="20"/>
                <w:lang w:val="en-US"/>
              </w:rPr>
              <w:t>he most common</w:t>
            </w:r>
            <w:r>
              <w:rPr>
                <w:sz w:val="20"/>
                <w:szCs w:val="20"/>
                <w:lang w:val="en-US"/>
              </w:rPr>
              <w:t xml:space="preserve"> </w:t>
            </w:r>
            <w:r w:rsidRPr="00800C8C">
              <w:rPr>
                <w:sz w:val="20"/>
                <w:szCs w:val="20"/>
                <w:lang w:val="en-US"/>
              </w:rPr>
              <w:t>adverse event in period 1 was headache (</w:t>
            </w:r>
            <w:proofErr w:type="spellStart"/>
            <w:r w:rsidRPr="00800C8C">
              <w:rPr>
                <w:sz w:val="20"/>
                <w:szCs w:val="20"/>
                <w:lang w:val="en-US"/>
              </w:rPr>
              <w:t>rozanolixizumab</w:t>
            </w:r>
            <w:proofErr w:type="spellEnd"/>
            <w:r w:rsidRPr="00800C8C">
              <w:rPr>
                <w:sz w:val="20"/>
                <w:szCs w:val="20"/>
                <w:lang w:val="en-US"/>
              </w:rPr>
              <w:t xml:space="preserve"> 57%, placebo 14%).</w:t>
            </w:r>
          </w:p>
        </w:tc>
        <w:tc>
          <w:tcPr>
            <w:tcW w:w="1276" w:type="dxa"/>
            <w:shd w:val="clear" w:color="auto" w:fill="auto"/>
            <w:noWrap/>
            <w:vAlign w:val="center"/>
          </w:tcPr>
          <w:p w14:paraId="196581A6" w14:textId="77777777" w:rsidR="00E0319A" w:rsidRPr="007B40AB" w:rsidRDefault="00E0319A" w:rsidP="00E0158D">
            <w:pPr>
              <w:spacing w:after="0" w:line="240" w:lineRule="auto"/>
              <w:jc w:val="both"/>
              <w:rPr>
                <w:rFonts w:ascii="Calibri" w:eastAsia="Times New Roman" w:hAnsi="Calibri" w:cs="Calibri"/>
                <w:color w:val="000000"/>
                <w:kern w:val="0"/>
                <w:sz w:val="20"/>
                <w:szCs w:val="20"/>
                <w:lang w:val="en-US" w:eastAsia="it-IT"/>
                <w14:ligatures w14:val="none"/>
              </w:rPr>
            </w:pPr>
            <w:proofErr w:type="spellStart"/>
            <w:r w:rsidRPr="007B40AB">
              <w:rPr>
                <w:rFonts w:cstheme="minorHAnsi"/>
                <w:sz w:val="20"/>
                <w:szCs w:val="20"/>
              </w:rPr>
              <w:t>Completed</w:t>
            </w:r>
            <w:proofErr w:type="spellEnd"/>
          </w:p>
        </w:tc>
      </w:tr>
      <w:tr w:rsidR="00E0319A" w:rsidRPr="008D6439" w14:paraId="6E072419" w14:textId="77777777" w:rsidTr="00E0319A">
        <w:trPr>
          <w:trHeight w:val="285"/>
        </w:trPr>
        <w:tc>
          <w:tcPr>
            <w:tcW w:w="2269" w:type="dxa"/>
            <w:shd w:val="clear" w:color="auto" w:fill="auto"/>
            <w:noWrap/>
            <w:vAlign w:val="center"/>
          </w:tcPr>
          <w:p w14:paraId="2A9E2553" w14:textId="4C8B4F23" w:rsidR="00E0319A" w:rsidRPr="00347A8F" w:rsidRDefault="00E0319A" w:rsidP="00E0158D">
            <w:pPr>
              <w:spacing w:after="0" w:line="240" w:lineRule="auto"/>
              <w:jc w:val="both"/>
              <w:rPr>
                <w:rFonts w:cstheme="minorHAnsi"/>
                <w:color w:val="000000"/>
                <w:sz w:val="20"/>
                <w:szCs w:val="20"/>
                <w:lang w:val="en-US"/>
              </w:rPr>
            </w:pPr>
            <w:bookmarkStart w:id="20" w:name="_Hlk151997681"/>
            <w:r w:rsidRPr="00347A8F">
              <w:rPr>
                <w:rFonts w:cstheme="minorHAnsi"/>
                <w:color w:val="000000"/>
                <w:sz w:val="20"/>
                <w:szCs w:val="20"/>
                <w:lang w:val="en-US"/>
              </w:rPr>
              <w:lastRenderedPageBreak/>
              <w:t>NCT04225871</w:t>
            </w:r>
            <w:r w:rsidR="00FE3BFE">
              <w:rPr>
                <w:rFonts w:cstheme="minorHAnsi"/>
                <w:color w:val="000000"/>
                <w:sz w:val="20"/>
                <w:szCs w:val="20"/>
                <w:lang w:val="en-US"/>
              </w:rPr>
              <w:t xml:space="preserve"> </w:t>
            </w:r>
            <w:bookmarkEnd w:id="20"/>
            <w:r w:rsidR="00FE3BFE">
              <w:rPr>
                <w:rFonts w:cstheme="minorHAnsi"/>
                <w:color w:val="000000"/>
                <w:sz w:val="20"/>
                <w:szCs w:val="20"/>
                <w:lang w:val="en-US"/>
              </w:rPr>
              <w:t>[111]</w:t>
            </w:r>
          </w:p>
        </w:tc>
        <w:tc>
          <w:tcPr>
            <w:tcW w:w="764" w:type="dxa"/>
            <w:vAlign w:val="center"/>
          </w:tcPr>
          <w:p w14:paraId="100A9934" w14:textId="77777777" w:rsidR="00E0319A" w:rsidRPr="007B40AB" w:rsidRDefault="00E0319A" w:rsidP="00E0158D">
            <w:pPr>
              <w:spacing w:after="0" w:line="240" w:lineRule="auto"/>
              <w:rPr>
                <w:sz w:val="20"/>
                <w:szCs w:val="20"/>
                <w:lang w:val="en-US"/>
              </w:rPr>
            </w:pPr>
            <w:r w:rsidRPr="007B40AB">
              <w:rPr>
                <w:rFonts w:cstheme="minorHAnsi"/>
                <w:sz w:val="20"/>
                <w:szCs w:val="20"/>
              </w:rPr>
              <w:t>III</w:t>
            </w:r>
          </w:p>
        </w:tc>
        <w:tc>
          <w:tcPr>
            <w:tcW w:w="1498" w:type="dxa"/>
            <w:shd w:val="clear" w:color="auto" w:fill="auto"/>
            <w:noWrap/>
            <w:vAlign w:val="center"/>
          </w:tcPr>
          <w:p w14:paraId="01A40E46" w14:textId="77777777" w:rsidR="00E0319A" w:rsidRPr="007B40AB" w:rsidRDefault="00E0319A" w:rsidP="00E0158D">
            <w:pPr>
              <w:spacing w:after="0" w:line="240" w:lineRule="auto"/>
              <w:rPr>
                <w:rFonts w:eastAsia="Times New Roman" w:cstheme="minorHAnsi"/>
                <w:color w:val="000000"/>
                <w:kern w:val="0"/>
                <w:sz w:val="20"/>
                <w:szCs w:val="20"/>
                <w:lang w:val="en-US" w:eastAsia="it-IT"/>
                <w14:ligatures w14:val="none"/>
              </w:rPr>
            </w:pPr>
            <w:proofErr w:type="spellStart"/>
            <w:r w:rsidRPr="007B40AB">
              <w:rPr>
                <w:sz w:val="20"/>
                <w:szCs w:val="20"/>
                <w:lang w:val="en-US"/>
              </w:rPr>
              <w:t>Zilucoplan</w:t>
            </w:r>
            <w:proofErr w:type="spellEnd"/>
          </w:p>
        </w:tc>
        <w:tc>
          <w:tcPr>
            <w:tcW w:w="1707" w:type="dxa"/>
            <w:shd w:val="clear" w:color="auto" w:fill="auto"/>
            <w:noWrap/>
            <w:vAlign w:val="center"/>
          </w:tcPr>
          <w:p w14:paraId="0DC4579E" w14:textId="0C3BFB47" w:rsidR="00E0319A" w:rsidRPr="007B40AB" w:rsidRDefault="00E0319A" w:rsidP="00E0158D">
            <w:pPr>
              <w:spacing w:after="0" w:line="240" w:lineRule="auto"/>
              <w:rPr>
                <w:rFonts w:eastAsia="Times New Roman" w:cstheme="minorHAnsi"/>
                <w:color w:val="000000"/>
                <w:kern w:val="0"/>
                <w:sz w:val="20"/>
                <w:szCs w:val="20"/>
                <w:lang w:val="en-US" w:eastAsia="it-IT"/>
                <w14:ligatures w14:val="none"/>
              </w:rPr>
            </w:pPr>
            <w:r w:rsidRPr="007B40AB">
              <w:rPr>
                <w:rFonts w:eastAsia="Times New Roman" w:cstheme="minorHAnsi"/>
                <w:color w:val="000000"/>
                <w:kern w:val="0"/>
                <w:sz w:val="20"/>
                <w:szCs w:val="20"/>
                <w:lang w:val="en-US" w:eastAsia="it-IT"/>
                <w14:ligatures w14:val="none"/>
              </w:rPr>
              <w:t>≥ 18</w:t>
            </w:r>
          </w:p>
        </w:tc>
        <w:tc>
          <w:tcPr>
            <w:tcW w:w="1843" w:type="dxa"/>
            <w:vAlign w:val="center"/>
          </w:tcPr>
          <w:p w14:paraId="4062071D" w14:textId="77777777" w:rsidR="00E0319A" w:rsidRPr="007B40AB" w:rsidRDefault="00E0319A" w:rsidP="00E0319A">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200</w:t>
            </w:r>
          </w:p>
        </w:tc>
        <w:tc>
          <w:tcPr>
            <w:tcW w:w="3118" w:type="dxa"/>
            <w:vAlign w:val="center"/>
          </w:tcPr>
          <w:p w14:paraId="0BB7CA27" w14:textId="77777777" w:rsidR="00E0319A" w:rsidRPr="007B40AB" w:rsidRDefault="00E0319A" w:rsidP="00E0158D">
            <w:pPr>
              <w:spacing w:after="0" w:line="240" w:lineRule="auto"/>
              <w:jc w:val="both"/>
              <w:rPr>
                <w:rFonts w:eastAsia="Times New Roman" w:cstheme="minorHAnsi"/>
                <w:color w:val="000000"/>
                <w:sz w:val="20"/>
                <w:szCs w:val="20"/>
                <w:lang w:val="en-US" w:eastAsia="it-IT"/>
              </w:rPr>
            </w:pPr>
            <w:r w:rsidRPr="007B40AB">
              <w:rPr>
                <w:rFonts w:eastAsia="Times New Roman" w:cstheme="minorHAnsi"/>
                <w:color w:val="000000"/>
                <w:sz w:val="20"/>
                <w:szCs w:val="20"/>
                <w:lang w:val="en-US" w:eastAsia="it-IT"/>
              </w:rPr>
              <w:t>Percentage of participants with adverse events occurring during treatment (expected follow-up 36 months)</w:t>
            </w:r>
          </w:p>
        </w:tc>
        <w:tc>
          <w:tcPr>
            <w:tcW w:w="3969" w:type="dxa"/>
            <w:shd w:val="clear" w:color="auto" w:fill="auto"/>
            <w:noWrap/>
            <w:vAlign w:val="center"/>
          </w:tcPr>
          <w:p w14:paraId="24D2F776" w14:textId="77777777" w:rsidR="00E0319A" w:rsidRPr="00345482" w:rsidRDefault="00E0319A" w:rsidP="00E0158D">
            <w:pPr>
              <w:spacing w:after="0" w:line="240" w:lineRule="auto"/>
              <w:rPr>
                <w:rFonts w:cstheme="minorHAnsi"/>
                <w:sz w:val="20"/>
                <w:szCs w:val="20"/>
                <w:lang w:val="en-US"/>
              </w:rPr>
            </w:pPr>
            <w:r>
              <w:rPr>
                <w:rFonts w:cstheme="minorHAnsi"/>
                <w:sz w:val="20"/>
                <w:szCs w:val="20"/>
                <w:lang w:val="en-US"/>
              </w:rPr>
              <w:t>Not available</w:t>
            </w:r>
          </w:p>
        </w:tc>
        <w:tc>
          <w:tcPr>
            <w:tcW w:w="1276" w:type="dxa"/>
            <w:shd w:val="clear" w:color="auto" w:fill="auto"/>
            <w:noWrap/>
            <w:vAlign w:val="center"/>
          </w:tcPr>
          <w:p w14:paraId="4C6C33AC" w14:textId="77777777" w:rsidR="00E0319A" w:rsidRPr="007B40AB" w:rsidRDefault="00E0319A" w:rsidP="00E0158D">
            <w:pPr>
              <w:spacing w:after="0" w:line="240" w:lineRule="auto"/>
              <w:jc w:val="both"/>
              <w:rPr>
                <w:rFonts w:eastAsia="Times New Roman" w:cstheme="minorHAnsi"/>
                <w:color w:val="000000"/>
                <w:sz w:val="20"/>
                <w:szCs w:val="20"/>
                <w:lang w:val="en-US" w:eastAsia="it-IT"/>
              </w:rPr>
            </w:pPr>
            <w:proofErr w:type="spellStart"/>
            <w:r w:rsidRPr="007B40AB">
              <w:rPr>
                <w:rFonts w:cstheme="minorHAnsi"/>
                <w:sz w:val="20"/>
                <w:szCs w:val="20"/>
              </w:rPr>
              <w:t>Ongoing</w:t>
            </w:r>
            <w:proofErr w:type="spellEnd"/>
          </w:p>
        </w:tc>
      </w:tr>
      <w:tr w:rsidR="00E0319A" w:rsidRPr="008D6439" w14:paraId="6528BDEE" w14:textId="77777777" w:rsidTr="00E0319A">
        <w:trPr>
          <w:trHeight w:val="285"/>
        </w:trPr>
        <w:tc>
          <w:tcPr>
            <w:tcW w:w="2269" w:type="dxa"/>
            <w:shd w:val="clear" w:color="auto" w:fill="auto"/>
            <w:noWrap/>
            <w:vAlign w:val="center"/>
          </w:tcPr>
          <w:p w14:paraId="2300D263" w14:textId="14510D32" w:rsidR="00E0319A" w:rsidRPr="00347A8F" w:rsidRDefault="00E0319A" w:rsidP="00E0158D">
            <w:pPr>
              <w:spacing w:after="0" w:line="240" w:lineRule="auto"/>
              <w:jc w:val="both"/>
              <w:rPr>
                <w:rFonts w:cstheme="minorHAnsi"/>
                <w:color w:val="000000"/>
                <w:sz w:val="20"/>
                <w:szCs w:val="20"/>
                <w:lang w:val="en-US"/>
              </w:rPr>
            </w:pPr>
            <w:bookmarkStart w:id="21" w:name="_Hlk151997740"/>
            <w:r w:rsidRPr="00347A8F">
              <w:rPr>
                <w:rFonts w:cstheme="minorHAnsi"/>
                <w:color w:val="000000"/>
                <w:sz w:val="20"/>
                <w:szCs w:val="20"/>
                <w:lang w:val="en-US"/>
              </w:rPr>
              <w:t>NCT05514873</w:t>
            </w:r>
            <w:r w:rsidR="00FE3BFE">
              <w:rPr>
                <w:rFonts w:cstheme="minorHAnsi"/>
                <w:color w:val="000000"/>
                <w:sz w:val="20"/>
                <w:szCs w:val="20"/>
                <w:lang w:val="en-US"/>
              </w:rPr>
              <w:t xml:space="preserve"> </w:t>
            </w:r>
            <w:bookmarkEnd w:id="21"/>
            <w:r w:rsidR="00FE3BFE">
              <w:rPr>
                <w:rFonts w:cstheme="minorHAnsi"/>
                <w:color w:val="000000"/>
                <w:sz w:val="20"/>
                <w:szCs w:val="20"/>
                <w:lang w:val="en-US"/>
              </w:rPr>
              <w:t>[112]</w:t>
            </w:r>
          </w:p>
        </w:tc>
        <w:tc>
          <w:tcPr>
            <w:tcW w:w="764" w:type="dxa"/>
            <w:vAlign w:val="center"/>
          </w:tcPr>
          <w:p w14:paraId="7193EAD1" w14:textId="77777777" w:rsidR="00E0319A" w:rsidRPr="007B40AB" w:rsidRDefault="00E0319A" w:rsidP="00E0158D">
            <w:pPr>
              <w:spacing w:after="0" w:line="240" w:lineRule="auto"/>
              <w:rPr>
                <w:sz w:val="20"/>
                <w:szCs w:val="20"/>
                <w:lang w:val="en-US"/>
              </w:rPr>
            </w:pPr>
            <w:r w:rsidRPr="007B40AB">
              <w:rPr>
                <w:rFonts w:cstheme="minorHAnsi"/>
                <w:sz w:val="20"/>
                <w:szCs w:val="20"/>
              </w:rPr>
              <w:t>III</w:t>
            </w:r>
          </w:p>
        </w:tc>
        <w:tc>
          <w:tcPr>
            <w:tcW w:w="1498" w:type="dxa"/>
            <w:shd w:val="clear" w:color="auto" w:fill="auto"/>
            <w:noWrap/>
            <w:vAlign w:val="center"/>
          </w:tcPr>
          <w:p w14:paraId="52A43F5F" w14:textId="77777777" w:rsidR="00E0319A" w:rsidRPr="007B40AB" w:rsidRDefault="00E0319A" w:rsidP="00E0158D">
            <w:pPr>
              <w:spacing w:after="0" w:line="240" w:lineRule="auto"/>
              <w:rPr>
                <w:rFonts w:eastAsia="Times New Roman" w:cstheme="minorHAnsi"/>
                <w:color w:val="000000"/>
                <w:kern w:val="0"/>
                <w:sz w:val="20"/>
                <w:szCs w:val="20"/>
                <w:lang w:eastAsia="it-IT"/>
                <w14:ligatures w14:val="none"/>
              </w:rPr>
            </w:pPr>
            <w:proofErr w:type="spellStart"/>
            <w:r w:rsidRPr="007B40AB">
              <w:rPr>
                <w:sz w:val="20"/>
                <w:szCs w:val="20"/>
                <w:lang w:val="en-US"/>
              </w:rPr>
              <w:t>Zilucoplan</w:t>
            </w:r>
            <w:proofErr w:type="spellEnd"/>
          </w:p>
        </w:tc>
        <w:tc>
          <w:tcPr>
            <w:tcW w:w="1707" w:type="dxa"/>
            <w:shd w:val="clear" w:color="auto" w:fill="auto"/>
            <w:noWrap/>
            <w:vAlign w:val="center"/>
          </w:tcPr>
          <w:p w14:paraId="02200BA3" w14:textId="102B0A87" w:rsidR="00E0319A" w:rsidRPr="007B40AB" w:rsidRDefault="00E0319A" w:rsidP="00E0158D">
            <w:pPr>
              <w:spacing w:after="0" w:line="240" w:lineRule="auto"/>
              <w:rPr>
                <w:rFonts w:eastAsia="Times New Roman" w:cstheme="minorHAnsi"/>
                <w:color w:val="000000"/>
                <w:kern w:val="0"/>
                <w:sz w:val="20"/>
                <w:szCs w:val="20"/>
                <w:lang w:val="en-US" w:eastAsia="it-IT"/>
                <w14:ligatures w14:val="none"/>
              </w:rPr>
            </w:pPr>
            <w:r w:rsidRPr="007B40AB">
              <w:rPr>
                <w:rFonts w:eastAsia="Times New Roman" w:cstheme="minorHAnsi"/>
                <w:color w:val="000000"/>
                <w:kern w:val="0"/>
                <w:sz w:val="20"/>
                <w:szCs w:val="20"/>
                <w:lang w:eastAsia="it-IT"/>
                <w14:ligatures w14:val="none"/>
              </w:rPr>
              <w:t>18-85</w:t>
            </w:r>
          </w:p>
        </w:tc>
        <w:tc>
          <w:tcPr>
            <w:tcW w:w="1843" w:type="dxa"/>
            <w:vAlign w:val="center"/>
          </w:tcPr>
          <w:p w14:paraId="226B23D0" w14:textId="77777777" w:rsidR="00E0319A" w:rsidRPr="007B40AB" w:rsidRDefault="00E0319A" w:rsidP="00E0319A">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20</w:t>
            </w:r>
          </w:p>
        </w:tc>
        <w:tc>
          <w:tcPr>
            <w:tcW w:w="3118" w:type="dxa"/>
            <w:vAlign w:val="center"/>
          </w:tcPr>
          <w:p w14:paraId="0349B3DE" w14:textId="77777777" w:rsidR="00E0319A" w:rsidRPr="007B40AB" w:rsidRDefault="00E0319A" w:rsidP="00E0158D">
            <w:pPr>
              <w:spacing w:after="0" w:line="240" w:lineRule="auto"/>
              <w:jc w:val="both"/>
              <w:rPr>
                <w:rFonts w:eastAsia="Times New Roman" w:cstheme="minorHAnsi"/>
                <w:color w:val="000000"/>
                <w:sz w:val="20"/>
                <w:szCs w:val="20"/>
                <w:lang w:val="en-US" w:eastAsia="it-IT"/>
              </w:rPr>
            </w:pPr>
            <w:r w:rsidRPr="007B40AB">
              <w:rPr>
                <w:rFonts w:eastAsia="Times New Roman" w:cstheme="minorHAnsi"/>
                <w:color w:val="000000"/>
                <w:sz w:val="20"/>
                <w:szCs w:val="20"/>
                <w:lang w:val="en-US" w:eastAsia="it-IT"/>
              </w:rPr>
              <w:t>Percentage of participants with adverse events occurring during treatment and percentage of treatment discontinuation due to adverse events (expected follow-up 18 weeks)</w:t>
            </w:r>
          </w:p>
        </w:tc>
        <w:tc>
          <w:tcPr>
            <w:tcW w:w="3969" w:type="dxa"/>
            <w:shd w:val="clear" w:color="auto" w:fill="auto"/>
            <w:noWrap/>
            <w:vAlign w:val="center"/>
          </w:tcPr>
          <w:p w14:paraId="3D85F2D6" w14:textId="77777777" w:rsidR="00E0319A" w:rsidRPr="00345482" w:rsidRDefault="00E0319A" w:rsidP="00E0158D">
            <w:pPr>
              <w:spacing w:after="0" w:line="240" w:lineRule="auto"/>
              <w:rPr>
                <w:rFonts w:cstheme="minorHAnsi"/>
                <w:sz w:val="20"/>
                <w:szCs w:val="20"/>
                <w:lang w:val="en-US"/>
              </w:rPr>
            </w:pPr>
            <w:r>
              <w:rPr>
                <w:rFonts w:cstheme="minorHAnsi"/>
                <w:sz w:val="20"/>
                <w:szCs w:val="20"/>
                <w:lang w:val="en-US"/>
              </w:rPr>
              <w:t>Not available</w:t>
            </w:r>
          </w:p>
        </w:tc>
        <w:tc>
          <w:tcPr>
            <w:tcW w:w="1276" w:type="dxa"/>
            <w:shd w:val="clear" w:color="auto" w:fill="auto"/>
            <w:noWrap/>
            <w:vAlign w:val="center"/>
          </w:tcPr>
          <w:p w14:paraId="56C1D582" w14:textId="77777777" w:rsidR="00E0319A" w:rsidRPr="007B40AB" w:rsidRDefault="00E0319A" w:rsidP="00E0158D">
            <w:pPr>
              <w:spacing w:after="0" w:line="240" w:lineRule="auto"/>
              <w:jc w:val="both"/>
              <w:rPr>
                <w:rFonts w:eastAsia="Times New Roman" w:cstheme="minorHAnsi"/>
                <w:color w:val="000000"/>
                <w:sz w:val="20"/>
                <w:szCs w:val="20"/>
                <w:lang w:val="en-US" w:eastAsia="it-IT"/>
              </w:rPr>
            </w:pPr>
            <w:r w:rsidRPr="007B40AB">
              <w:rPr>
                <w:rFonts w:cstheme="minorHAnsi"/>
                <w:sz w:val="20"/>
                <w:szCs w:val="20"/>
              </w:rPr>
              <w:t>Recruiting</w:t>
            </w:r>
          </w:p>
        </w:tc>
      </w:tr>
      <w:tr w:rsidR="00E0319A" w:rsidRPr="008D6439" w14:paraId="1CBB30E6" w14:textId="77777777" w:rsidTr="00E0319A">
        <w:trPr>
          <w:trHeight w:val="285"/>
        </w:trPr>
        <w:tc>
          <w:tcPr>
            <w:tcW w:w="2269" w:type="dxa"/>
            <w:shd w:val="clear" w:color="auto" w:fill="auto"/>
            <w:noWrap/>
            <w:vAlign w:val="center"/>
          </w:tcPr>
          <w:p w14:paraId="670B4E44" w14:textId="5D97925F" w:rsidR="00E0319A" w:rsidRPr="00347A8F" w:rsidRDefault="00E0319A" w:rsidP="00E0158D">
            <w:pPr>
              <w:spacing w:after="0" w:line="240" w:lineRule="auto"/>
              <w:jc w:val="both"/>
              <w:rPr>
                <w:rFonts w:cstheme="minorHAnsi"/>
                <w:color w:val="000000"/>
                <w:sz w:val="20"/>
                <w:szCs w:val="20"/>
                <w:lang w:val="en-US"/>
              </w:rPr>
            </w:pPr>
            <w:r w:rsidRPr="00347A8F">
              <w:rPr>
                <w:rFonts w:cstheme="minorHAnsi"/>
                <w:color w:val="000000"/>
                <w:sz w:val="20"/>
                <w:szCs w:val="20"/>
                <w:lang w:val="en-US"/>
              </w:rPr>
              <w:t>NCT04115293</w:t>
            </w:r>
            <w:r w:rsidR="00FE3BFE">
              <w:rPr>
                <w:rFonts w:cstheme="minorHAnsi"/>
                <w:color w:val="000000"/>
                <w:sz w:val="20"/>
                <w:szCs w:val="20"/>
                <w:lang w:val="en-US"/>
              </w:rPr>
              <w:t xml:space="preserve"> [76]</w:t>
            </w:r>
          </w:p>
        </w:tc>
        <w:tc>
          <w:tcPr>
            <w:tcW w:w="764" w:type="dxa"/>
            <w:vAlign w:val="center"/>
          </w:tcPr>
          <w:p w14:paraId="37C67BBE" w14:textId="77777777" w:rsidR="00E0319A" w:rsidRPr="007B40AB" w:rsidRDefault="00E0319A" w:rsidP="00E0158D">
            <w:pPr>
              <w:spacing w:after="0" w:line="240" w:lineRule="auto"/>
              <w:rPr>
                <w:sz w:val="20"/>
                <w:szCs w:val="20"/>
                <w:lang w:val="en-US"/>
              </w:rPr>
            </w:pPr>
            <w:r w:rsidRPr="007B40AB">
              <w:rPr>
                <w:rFonts w:cstheme="minorHAnsi"/>
                <w:sz w:val="20"/>
                <w:szCs w:val="20"/>
              </w:rPr>
              <w:t>III</w:t>
            </w:r>
          </w:p>
        </w:tc>
        <w:tc>
          <w:tcPr>
            <w:tcW w:w="1498" w:type="dxa"/>
            <w:shd w:val="clear" w:color="auto" w:fill="auto"/>
            <w:noWrap/>
            <w:vAlign w:val="center"/>
          </w:tcPr>
          <w:p w14:paraId="5485F739" w14:textId="77777777" w:rsidR="00E0319A" w:rsidRPr="007B40AB" w:rsidRDefault="00E0319A" w:rsidP="00E0158D">
            <w:pPr>
              <w:spacing w:after="0" w:line="240" w:lineRule="auto"/>
              <w:rPr>
                <w:rFonts w:eastAsia="Times New Roman" w:cstheme="minorHAnsi"/>
                <w:color w:val="000000"/>
                <w:kern w:val="0"/>
                <w:sz w:val="20"/>
                <w:szCs w:val="20"/>
                <w:lang w:eastAsia="it-IT"/>
                <w14:ligatures w14:val="none"/>
              </w:rPr>
            </w:pPr>
            <w:proofErr w:type="spellStart"/>
            <w:r w:rsidRPr="007B40AB">
              <w:rPr>
                <w:sz w:val="20"/>
                <w:szCs w:val="20"/>
                <w:lang w:val="en-US"/>
              </w:rPr>
              <w:t>Zilucoplan</w:t>
            </w:r>
            <w:proofErr w:type="spellEnd"/>
          </w:p>
        </w:tc>
        <w:tc>
          <w:tcPr>
            <w:tcW w:w="1707" w:type="dxa"/>
            <w:shd w:val="clear" w:color="auto" w:fill="auto"/>
            <w:noWrap/>
            <w:vAlign w:val="center"/>
          </w:tcPr>
          <w:p w14:paraId="326A1F53" w14:textId="4A0AB3CB" w:rsidR="00E0319A" w:rsidRPr="007B40AB" w:rsidRDefault="00E0319A" w:rsidP="00E0158D">
            <w:pPr>
              <w:spacing w:after="0" w:line="240" w:lineRule="auto"/>
              <w:rPr>
                <w:rFonts w:eastAsia="Times New Roman" w:cstheme="minorHAnsi"/>
                <w:color w:val="000000"/>
                <w:kern w:val="0"/>
                <w:sz w:val="20"/>
                <w:szCs w:val="20"/>
                <w:lang w:val="en-US" w:eastAsia="it-IT"/>
                <w14:ligatures w14:val="none"/>
              </w:rPr>
            </w:pPr>
            <w:r w:rsidRPr="007B40AB">
              <w:rPr>
                <w:rFonts w:eastAsia="Times New Roman" w:cstheme="minorHAnsi"/>
                <w:color w:val="000000"/>
                <w:kern w:val="0"/>
                <w:sz w:val="20"/>
                <w:szCs w:val="20"/>
                <w:lang w:eastAsia="it-IT"/>
                <w14:ligatures w14:val="none"/>
              </w:rPr>
              <w:t>18-74</w:t>
            </w:r>
          </w:p>
        </w:tc>
        <w:tc>
          <w:tcPr>
            <w:tcW w:w="1843" w:type="dxa"/>
            <w:vAlign w:val="center"/>
          </w:tcPr>
          <w:p w14:paraId="2C406FEC" w14:textId="77777777" w:rsidR="00E0319A" w:rsidRPr="007B40AB" w:rsidRDefault="00E0319A" w:rsidP="00E0319A">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174</w:t>
            </w:r>
          </w:p>
        </w:tc>
        <w:tc>
          <w:tcPr>
            <w:tcW w:w="3118" w:type="dxa"/>
            <w:vAlign w:val="center"/>
          </w:tcPr>
          <w:p w14:paraId="3F127020" w14:textId="77777777" w:rsidR="00E0319A" w:rsidRPr="007B40AB" w:rsidRDefault="00E0319A" w:rsidP="00E0158D">
            <w:pPr>
              <w:spacing w:after="0" w:line="240" w:lineRule="auto"/>
              <w:jc w:val="both"/>
              <w:rPr>
                <w:rFonts w:eastAsia="Times New Roman" w:cstheme="minorHAnsi"/>
                <w:color w:val="000000"/>
                <w:sz w:val="20"/>
                <w:szCs w:val="20"/>
                <w:lang w:val="en-US" w:eastAsia="it-IT"/>
              </w:rPr>
            </w:pPr>
            <w:r w:rsidRPr="007B40AB">
              <w:rPr>
                <w:rFonts w:eastAsia="Times New Roman" w:cstheme="minorHAnsi"/>
                <w:color w:val="000000"/>
                <w:sz w:val="20"/>
                <w:szCs w:val="20"/>
                <w:lang w:val="en-US" w:eastAsia="it-IT"/>
              </w:rPr>
              <w:t>Change in total score of the MG-ADL scale from baseline to week 12</w:t>
            </w:r>
          </w:p>
        </w:tc>
        <w:tc>
          <w:tcPr>
            <w:tcW w:w="3969" w:type="dxa"/>
            <w:shd w:val="clear" w:color="auto" w:fill="auto"/>
            <w:noWrap/>
            <w:vAlign w:val="center"/>
          </w:tcPr>
          <w:p w14:paraId="416448BA" w14:textId="77777777" w:rsidR="00E0319A" w:rsidRPr="00345482" w:rsidRDefault="00E0319A" w:rsidP="00E0319A">
            <w:pPr>
              <w:spacing w:after="0" w:line="240" w:lineRule="auto"/>
              <w:jc w:val="both"/>
              <w:rPr>
                <w:rFonts w:cstheme="minorHAnsi"/>
                <w:sz w:val="20"/>
                <w:szCs w:val="20"/>
                <w:lang w:val="en-US"/>
              </w:rPr>
            </w:pPr>
            <w:r w:rsidRPr="00FF4A72">
              <w:rPr>
                <w:rFonts w:cstheme="minorHAnsi"/>
                <w:sz w:val="20"/>
                <w:szCs w:val="20"/>
                <w:lang w:val="en-US"/>
              </w:rPr>
              <w:t xml:space="preserve">Patients </w:t>
            </w:r>
            <w:r>
              <w:rPr>
                <w:rFonts w:cstheme="minorHAnsi"/>
                <w:sz w:val="20"/>
                <w:szCs w:val="20"/>
                <w:lang w:val="en-US"/>
              </w:rPr>
              <w:t>receiving</w:t>
            </w:r>
            <w:r w:rsidRPr="00FF4A72">
              <w:rPr>
                <w:rFonts w:cstheme="minorHAnsi"/>
                <w:sz w:val="20"/>
                <w:szCs w:val="20"/>
                <w:lang w:val="en-US"/>
              </w:rPr>
              <w:t xml:space="preserve"> </w:t>
            </w:r>
            <w:proofErr w:type="spellStart"/>
            <w:r w:rsidRPr="00FF4A72">
              <w:rPr>
                <w:rFonts w:cstheme="minorHAnsi"/>
                <w:sz w:val="20"/>
                <w:szCs w:val="20"/>
                <w:lang w:val="en-US"/>
              </w:rPr>
              <w:t>zilucoplan</w:t>
            </w:r>
            <w:proofErr w:type="spellEnd"/>
            <w:r w:rsidRPr="00FF4A72">
              <w:rPr>
                <w:rFonts w:cstheme="minorHAnsi"/>
                <w:sz w:val="20"/>
                <w:szCs w:val="20"/>
                <w:lang w:val="en-US"/>
              </w:rPr>
              <w:t xml:space="preserve"> showed a greater reduction in MG-ADL score from baseline to week 12,</w:t>
            </w:r>
            <w:r>
              <w:rPr>
                <w:rFonts w:cstheme="minorHAnsi"/>
                <w:sz w:val="20"/>
                <w:szCs w:val="20"/>
                <w:lang w:val="en-US"/>
              </w:rPr>
              <w:t xml:space="preserve"> as</w:t>
            </w:r>
            <w:r w:rsidRPr="00FF4A72">
              <w:rPr>
                <w:rFonts w:cstheme="minorHAnsi"/>
                <w:sz w:val="20"/>
                <w:szCs w:val="20"/>
                <w:lang w:val="en-US"/>
              </w:rPr>
              <w:t xml:space="preserve"> compared</w:t>
            </w:r>
            <w:r>
              <w:rPr>
                <w:rFonts w:cstheme="minorHAnsi"/>
                <w:sz w:val="20"/>
                <w:szCs w:val="20"/>
                <w:lang w:val="en-US"/>
              </w:rPr>
              <w:t xml:space="preserve"> </w:t>
            </w:r>
            <w:r w:rsidRPr="00FF4A72">
              <w:rPr>
                <w:rFonts w:cstheme="minorHAnsi"/>
                <w:sz w:val="20"/>
                <w:szCs w:val="20"/>
                <w:lang w:val="en-US"/>
              </w:rPr>
              <w:t xml:space="preserve">with those </w:t>
            </w:r>
            <w:r>
              <w:rPr>
                <w:rFonts w:cstheme="minorHAnsi"/>
                <w:sz w:val="20"/>
                <w:szCs w:val="20"/>
                <w:lang w:val="en-US"/>
              </w:rPr>
              <w:t>treated with</w:t>
            </w:r>
            <w:r w:rsidRPr="00FF4A72">
              <w:rPr>
                <w:rFonts w:cstheme="minorHAnsi"/>
                <w:sz w:val="20"/>
                <w:szCs w:val="20"/>
                <w:lang w:val="en-US"/>
              </w:rPr>
              <w:t xml:space="preserve"> placebo (mean change</w:t>
            </w:r>
            <w:r>
              <w:rPr>
                <w:rFonts w:cstheme="minorHAnsi"/>
                <w:sz w:val="20"/>
                <w:szCs w:val="20"/>
                <w:lang w:val="en-US"/>
              </w:rPr>
              <w:t>:</w:t>
            </w:r>
            <w:r w:rsidRPr="00FF4A72">
              <w:rPr>
                <w:rFonts w:cstheme="minorHAnsi"/>
                <w:sz w:val="20"/>
                <w:szCs w:val="20"/>
                <w:lang w:val="en-US"/>
              </w:rPr>
              <w:t xml:space="preserve"> −4</w:t>
            </w:r>
            <w:r>
              <w:rPr>
                <w:rFonts w:cstheme="minorHAnsi"/>
                <w:sz w:val="20"/>
                <w:szCs w:val="20"/>
                <w:lang w:val="en-US"/>
              </w:rPr>
              <w:t>.</w:t>
            </w:r>
            <w:r w:rsidRPr="00FF4A72">
              <w:rPr>
                <w:rFonts w:cstheme="minorHAnsi"/>
                <w:sz w:val="20"/>
                <w:szCs w:val="20"/>
                <w:lang w:val="en-US"/>
              </w:rPr>
              <w:t>39 [95% CI –5</w:t>
            </w:r>
            <w:r>
              <w:rPr>
                <w:rFonts w:cstheme="minorHAnsi"/>
                <w:sz w:val="20"/>
                <w:szCs w:val="20"/>
                <w:lang w:val="en-US"/>
              </w:rPr>
              <w:t>.</w:t>
            </w:r>
            <w:r w:rsidRPr="00FF4A72">
              <w:rPr>
                <w:rFonts w:cstheme="minorHAnsi"/>
                <w:sz w:val="20"/>
                <w:szCs w:val="20"/>
                <w:lang w:val="en-US"/>
              </w:rPr>
              <w:t>28 to –3</w:t>
            </w:r>
            <w:r>
              <w:rPr>
                <w:rFonts w:cstheme="minorHAnsi"/>
                <w:sz w:val="20"/>
                <w:szCs w:val="20"/>
                <w:lang w:val="en-US"/>
              </w:rPr>
              <w:t>.</w:t>
            </w:r>
            <w:r w:rsidRPr="00FF4A72">
              <w:rPr>
                <w:rFonts w:cstheme="minorHAnsi"/>
                <w:sz w:val="20"/>
                <w:szCs w:val="20"/>
                <w:lang w:val="en-US"/>
              </w:rPr>
              <w:t>50] vs −2</w:t>
            </w:r>
            <w:r>
              <w:rPr>
                <w:rFonts w:cstheme="minorHAnsi"/>
                <w:sz w:val="20"/>
                <w:szCs w:val="20"/>
                <w:lang w:val="en-US"/>
              </w:rPr>
              <w:t>.</w:t>
            </w:r>
            <w:r w:rsidRPr="00FF4A72">
              <w:rPr>
                <w:rFonts w:cstheme="minorHAnsi"/>
                <w:sz w:val="20"/>
                <w:szCs w:val="20"/>
                <w:lang w:val="en-US"/>
              </w:rPr>
              <w:t>30 [–3</w:t>
            </w:r>
            <w:r>
              <w:rPr>
                <w:rFonts w:cstheme="minorHAnsi"/>
                <w:sz w:val="20"/>
                <w:szCs w:val="20"/>
                <w:lang w:val="en-US"/>
              </w:rPr>
              <w:t>.</w:t>
            </w:r>
            <w:r w:rsidRPr="00FF4A72">
              <w:rPr>
                <w:rFonts w:cstheme="minorHAnsi"/>
                <w:sz w:val="20"/>
                <w:szCs w:val="20"/>
                <w:lang w:val="en-US"/>
              </w:rPr>
              <w:t>17 to –1</w:t>
            </w:r>
            <w:r>
              <w:rPr>
                <w:rFonts w:cstheme="minorHAnsi"/>
                <w:sz w:val="20"/>
                <w:szCs w:val="20"/>
                <w:lang w:val="en-US"/>
              </w:rPr>
              <w:t>.</w:t>
            </w:r>
            <w:r w:rsidRPr="00FF4A72">
              <w:rPr>
                <w:rFonts w:cstheme="minorHAnsi"/>
                <w:sz w:val="20"/>
                <w:szCs w:val="20"/>
                <w:lang w:val="en-US"/>
              </w:rPr>
              <w:t>43];</w:t>
            </w:r>
            <w:r>
              <w:rPr>
                <w:rFonts w:cstheme="minorHAnsi"/>
                <w:sz w:val="20"/>
                <w:szCs w:val="20"/>
                <w:lang w:val="en-US"/>
              </w:rPr>
              <w:t xml:space="preserve"> </w:t>
            </w:r>
            <w:r w:rsidRPr="00FF4A72">
              <w:rPr>
                <w:rFonts w:cstheme="minorHAnsi"/>
                <w:sz w:val="20"/>
                <w:szCs w:val="20"/>
                <w:lang w:val="en-US"/>
              </w:rPr>
              <w:t>mean difference −2</w:t>
            </w:r>
            <w:r>
              <w:rPr>
                <w:rFonts w:cstheme="minorHAnsi"/>
                <w:sz w:val="20"/>
                <w:szCs w:val="20"/>
                <w:lang w:val="en-US"/>
              </w:rPr>
              <w:t>.</w:t>
            </w:r>
            <w:r w:rsidRPr="00FF4A72">
              <w:rPr>
                <w:rFonts w:cstheme="minorHAnsi"/>
                <w:sz w:val="20"/>
                <w:szCs w:val="20"/>
                <w:lang w:val="en-US"/>
              </w:rPr>
              <w:t>09 [−3</w:t>
            </w:r>
            <w:r>
              <w:rPr>
                <w:rFonts w:cstheme="minorHAnsi"/>
                <w:sz w:val="20"/>
                <w:szCs w:val="20"/>
                <w:lang w:val="en-US"/>
              </w:rPr>
              <w:t>.</w:t>
            </w:r>
            <w:r w:rsidRPr="00FF4A72">
              <w:rPr>
                <w:rFonts w:cstheme="minorHAnsi"/>
                <w:sz w:val="20"/>
                <w:szCs w:val="20"/>
                <w:lang w:val="en-US"/>
              </w:rPr>
              <w:t>24 to −0</w:t>
            </w:r>
            <w:r>
              <w:rPr>
                <w:rFonts w:cstheme="minorHAnsi"/>
                <w:sz w:val="20"/>
                <w:szCs w:val="20"/>
                <w:lang w:val="en-US"/>
              </w:rPr>
              <w:t>.</w:t>
            </w:r>
            <w:r w:rsidRPr="00FF4A72">
              <w:rPr>
                <w:rFonts w:cstheme="minorHAnsi"/>
                <w:sz w:val="20"/>
                <w:szCs w:val="20"/>
                <w:lang w:val="en-US"/>
              </w:rPr>
              <w:t>95]; p=0</w:t>
            </w:r>
            <w:r>
              <w:rPr>
                <w:rFonts w:cstheme="minorHAnsi"/>
                <w:sz w:val="20"/>
                <w:szCs w:val="20"/>
                <w:lang w:val="en-US"/>
              </w:rPr>
              <w:t>.</w:t>
            </w:r>
            <w:r w:rsidRPr="00FF4A72">
              <w:rPr>
                <w:rFonts w:cstheme="minorHAnsi"/>
                <w:sz w:val="20"/>
                <w:szCs w:val="20"/>
                <w:lang w:val="en-US"/>
              </w:rPr>
              <w:t xml:space="preserve">0004). </w:t>
            </w:r>
            <w:r>
              <w:rPr>
                <w:rFonts w:cstheme="minorHAnsi"/>
                <w:sz w:val="20"/>
                <w:szCs w:val="20"/>
                <w:lang w:val="en-US"/>
              </w:rPr>
              <w:t>The i</w:t>
            </w:r>
            <w:r w:rsidRPr="00FF4A72">
              <w:rPr>
                <w:rFonts w:cstheme="minorHAnsi"/>
                <w:sz w:val="20"/>
                <w:szCs w:val="20"/>
                <w:lang w:val="en-US"/>
              </w:rPr>
              <w:t xml:space="preserve">ncidence of serious </w:t>
            </w:r>
            <w:r>
              <w:rPr>
                <w:rFonts w:cstheme="minorHAnsi"/>
                <w:sz w:val="20"/>
                <w:szCs w:val="20"/>
                <w:lang w:val="en-US"/>
              </w:rPr>
              <w:t>adverse events</w:t>
            </w:r>
            <w:r w:rsidRPr="00FF4A72">
              <w:rPr>
                <w:rFonts w:cstheme="minorHAnsi"/>
                <w:sz w:val="20"/>
                <w:szCs w:val="20"/>
                <w:lang w:val="en-US"/>
              </w:rPr>
              <w:t xml:space="preserve"> and serious</w:t>
            </w:r>
            <w:r>
              <w:rPr>
                <w:rFonts w:cstheme="minorHAnsi"/>
                <w:sz w:val="20"/>
                <w:szCs w:val="20"/>
                <w:lang w:val="en-US"/>
              </w:rPr>
              <w:t xml:space="preserve"> </w:t>
            </w:r>
            <w:r w:rsidRPr="00FF4A72">
              <w:rPr>
                <w:rFonts w:cstheme="minorHAnsi"/>
                <w:sz w:val="20"/>
                <w:szCs w:val="20"/>
                <w:lang w:val="en-US"/>
              </w:rPr>
              <w:t xml:space="preserve">infections </w:t>
            </w:r>
            <w:r>
              <w:rPr>
                <w:rFonts w:cstheme="minorHAnsi"/>
                <w:sz w:val="20"/>
                <w:szCs w:val="20"/>
                <w:lang w:val="en-US"/>
              </w:rPr>
              <w:t>was</w:t>
            </w:r>
            <w:r w:rsidRPr="00FF4A72">
              <w:rPr>
                <w:rFonts w:cstheme="minorHAnsi"/>
                <w:sz w:val="20"/>
                <w:szCs w:val="20"/>
                <w:lang w:val="en-US"/>
              </w:rPr>
              <w:t xml:space="preserve"> similar in both groups. </w:t>
            </w:r>
          </w:p>
        </w:tc>
        <w:tc>
          <w:tcPr>
            <w:tcW w:w="1276" w:type="dxa"/>
            <w:shd w:val="clear" w:color="auto" w:fill="auto"/>
            <w:noWrap/>
            <w:vAlign w:val="center"/>
          </w:tcPr>
          <w:p w14:paraId="3F46DDE3" w14:textId="77777777" w:rsidR="00E0319A" w:rsidRPr="007B40AB" w:rsidRDefault="00E0319A" w:rsidP="00E0158D">
            <w:pPr>
              <w:spacing w:after="0" w:line="240" w:lineRule="auto"/>
              <w:jc w:val="both"/>
              <w:rPr>
                <w:rFonts w:eastAsia="Times New Roman" w:cstheme="minorHAnsi"/>
                <w:color w:val="000000"/>
                <w:sz w:val="20"/>
                <w:szCs w:val="20"/>
                <w:lang w:val="en-US" w:eastAsia="it-IT"/>
              </w:rPr>
            </w:pPr>
            <w:proofErr w:type="spellStart"/>
            <w:r w:rsidRPr="007B40AB">
              <w:rPr>
                <w:rFonts w:cstheme="minorHAnsi"/>
                <w:sz w:val="20"/>
                <w:szCs w:val="20"/>
              </w:rPr>
              <w:t>Completed</w:t>
            </w:r>
            <w:proofErr w:type="spellEnd"/>
          </w:p>
        </w:tc>
      </w:tr>
      <w:tr w:rsidR="00E0319A" w:rsidRPr="008D6439" w14:paraId="4B97129D" w14:textId="77777777" w:rsidTr="00E0319A">
        <w:trPr>
          <w:trHeight w:val="285"/>
        </w:trPr>
        <w:tc>
          <w:tcPr>
            <w:tcW w:w="2269" w:type="dxa"/>
            <w:shd w:val="clear" w:color="auto" w:fill="auto"/>
            <w:noWrap/>
            <w:vAlign w:val="center"/>
          </w:tcPr>
          <w:p w14:paraId="544F9C74" w14:textId="08907F8C" w:rsidR="00E0319A" w:rsidRPr="00347A8F" w:rsidRDefault="00E0319A" w:rsidP="00E0158D">
            <w:pPr>
              <w:spacing w:after="0" w:line="240" w:lineRule="auto"/>
              <w:jc w:val="both"/>
              <w:rPr>
                <w:rFonts w:cstheme="minorHAnsi"/>
                <w:color w:val="000000"/>
                <w:sz w:val="20"/>
                <w:szCs w:val="20"/>
                <w:lang w:val="en-US"/>
              </w:rPr>
            </w:pPr>
            <w:r w:rsidRPr="00347A8F">
              <w:rPr>
                <w:rFonts w:cstheme="minorHAnsi"/>
                <w:color w:val="000000"/>
                <w:sz w:val="20"/>
                <w:szCs w:val="20"/>
                <w:lang w:val="en-US"/>
              </w:rPr>
              <w:t>NCT03315130</w:t>
            </w:r>
            <w:r w:rsidR="00FE3BFE">
              <w:rPr>
                <w:rFonts w:cstheme="minorHAnsi"/>
                <w:color w:val="000000"/>
                <w:sz w:val="20"/>
                <w:szCs w:val="20"/>
                <w:lang w:val="en-US"/>
              </w:rPr>
              <w:t xml:space="preserve"> [113]</w:t>
            </w:r>
          </w:p>
        </w:tc>
        <w:tc>
          <w:tcPr>
            <w:tcW w:w="764" w:type="dxa"/>
            <w:vAlign w:val="center"/>
          </w:tcPr>
          <w:p w14:paraId="0D31F120" w14:textId="77777777" w:rsidR="00E0319A" w:rsidRPr="007B40AB" w:rsidRDefault="00E0319A" w:rsidP="00E0158D">
            <w:pPr>
              <w:spacing w:after="0" w:line="240" w:lineRule="auto"/>
              <w:rPr>
                <w:sz w:val="20"/>
                <w:szCs w:val="20"/>
                <w:lang w:val="en-US"/>
              </w:rPr>
            </w:pPr>
            <w:r w:rsidRPr="007B40AB">
              <w:rPr>
                <w:rFonts w:cstheme="minorHAnsi"/>
                <w:sz w:val="20"/>
                <w:szCs w:val="20"/>
              </w:rPr>
              <w:t>II</w:t>
            </w:r>
          </w:p>
        </w:tc>
        <w:tc>
          <w:tcPr>
            <w:tcW w:w="1498" w:type="dxa"/>
            <w:shd w:val="clear" w:color="auto" w:fill="auto"/>
            <w:noWrap/>
            <w:vAlign w:val="center"/>
          </w:tcPr>
          <w:p w14:paraId="4FFC0A14" w14:textId="77777777" w:rsidR="00E0319A" w:rsidRPr="007B40AB" w:rsidRDefault="00E0319A" w:rsidP="00E0158D">
            <w:pPr>
              <w:spacing w:after="0" w:line="240" w:lineRule="auto"/>
              <w:rPr>
                <w:rFonts w:eastAsia="Times New Roman" w:cstheme="minorHAnsi"/>
                <w:color w:val="000000"/>
                <w:kern w:val="0"/>
                <w:sz w:val="20"/>
                <w:szCs w:val="20"/>
                <w:lang w:eastAsia="it-IT"/>
                <w14:ligatures w14:val="none"/>
              </w:rPr>
            </w:pPr>
            <w:proofErr w:type="spellStart"/>
            <w:r w:rsidRPr="007B40AB">
              <w:rPr>
                <w:sz w:val="20"/>
                <w:szCs w:val="20"/>
                <w:lang w:val="en-US"/>
              </w:rPr>
              <w:t>Zilucoplan</w:t>
            </w:r>
            <w:proofErr w:type="spellEnd"/>
          </w:p>
        </w:tc>
        <w:tc>
          <w:tcPr>
            <w:tcW w:w="1707" w:type="dxa"/>
            <w:shd w:val="clear" w:color="auto" w:fill="auto"/>
            <w:noWrap/>
            <w:vAlign w:val="center"/>
          </w:tcPr>
          <w:p w14:paraId="131B769D" w14:textId="7EEE4266" w:rsidR="00E0319A" w:rsidRPr="007B40AB" w:rsidRDefault="00E0319A" w:rsidP="00E0158D">
            <w:pPr>
              <w:spacing w:after="0" w:line="240" w:lineRule="auto"/>
              <w:rPr>
                <w:rFonts w:eastAsia="Times New Roman" w:cstheme="minorHAnsi"/>
                <w:color w:val="000000"/>
                <w:kern w:val="0"/>
                <w:sz w:val="20"/>
                <w:szCs w:val="20"/>
                <w:lang w:val="en-US" w:eastAsia="it-IT"/>
                <w14:ligatures w14:val="none"/>
              </w:rPr>
            </w:pPr>
            <w:r w:rsidRPr="007B40AB">
              <w:rPr>
                <w:rFonts w:eastAsia="Times New Roman" w:cstheme="minorHAnsi"/>
                <w:color w:val="000000"/>
                <w:kern w:val="0"/>
                <w:sz w:val="20"/>
                <w:szCs w:val="20"/>
                <w:lang w:eastAsia="it-IT"/>
                <w14:ligatures w14:val="none"/>
              </w:rPr>
              <w:t>18-85</w:t>
            </w:r>
          </w:p>
        </w:tc>
        <w:tc>
          <w:tcPr>
            <w:tcW w:w="1843" w:type="dxa"/>
            <w:vAlign w:val="center"/>
          </w:tcPr>
          <w:p w14:paraId="1FA2143E" w14:textId="77777777" w:rsidR="00E0319A" w:rsidRPr="007B40AB" w:rsidRDefault="00E0319A" w:rsidP="00E0319A">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34</w:t>
            </w:r>
          </w:p>
        </w:tc>
        <w:tc>
          <w:tcPr>
            <w:tcW w:w="3118" w:type="dxa"/>
            <w:vAlign w:val="center"/>
          </w:tcPr>
          <w:p w14:paraId="27EF52A3" w14:textId="77777777" w:rsidR="00E0319A" w:rsidRPr="007B40AB" w:rsidRDefault="00E0319A" w:rsidP="00E0158D">
            <w:pPr>
              <w:spacing w:after="0" w:line="240" w:lineRule="auto"/>
              <w:jc w:val="both"/>
              <w:rPr>
                <w:rFonts w:eastAsia="Times New Roman" w:cstheme="minorHAnsi"/>
                <w:color w:val="000000"/>
                <w:sz w:val="20"/>
                <w:szCs w:val="20"/>
                <w:lang w:val="en-US" w:eastAsia="it-IT"/>
              </w:rPr>
            </w:pPr>
            <w:r w:rsidRPr="007B40AB">
              <w:rPr>
                <w:rFonts w:eastAsia="Times New Roman" w:cstheme="minorHAnsi"/>
                <w:color w:val="000000"/>
                <w:sz w:val="20"/>
                <w:szCs w:val="20"/>
                <w:lang w:val="en-US" w:eastAsia="it-IT"/>
              </w:rPr>
              <w:t>Change in total score of the QMG scale from baseline to week 12</w:t>
            </w:r>
          </w:p>
        </w:tc>
        <w:tc>
          <w:tcPr>
            <w:tcW w:w="3969" w:type="dxa"/>
            <w:shd w:val="clear" w:color="auto" w:fill="auto"/>
            <w:noWrap/>
            <w:vAlign w:val="center"/>
          </w:tcPr>
          <w:p w14:paraId="2341EEF7" w14:textId="77777777" w:rsidR="00E0319A" w:rsidRPr="00345482" w:rsidRDefault="00E0319A" w:rsidP="00E0319A">
            <w:pPr>
              <w:spacing w:after="0" w:line="240" w:lineRule="auto"/>
              <w:jc w:val="both"/>
              <w:rPr>
                <w:rFonts w:cstheme="minorHAnsi"/>
                <w:sz w:val="20"/>
                <w:szCs w:val="20"/>
                <w:lang w:val="en-US"/>
              </w:rPr>
            </w:pPr>
            <w:proofErr w:type="spellStart"/>
            <w:r w:rsidRPr="002754C9">
              <w:rPr>
                <w:rFonts w:cstheme="minorHAnsi"/>
                <w:sz w:val="20"/>
                <w:szCs w:val="20"/>
                <w:lang w:val="en-US"/>
              </w:rPr>
              <w:t>Zilucoplan</w:t>
            </w:r>
            <w:proofErr w:type="spellEnd"/>
            <w:r w:rsidRPr="002754C9">
              <w:rPr>
                <w:rFonts w:cstheme="minorHAnsi"/>
                <w:sz w:val="20"/>
                <w:szCs w:val="20"/>
                <w:lang w:val="en-US"/>
              </w:rPr>
              <w:t xml:space="preserve"> resulted in a mean reduction from baseline of 6.0 points in the QMG</w:t>
            </w:r>
            <w:r>
              <w:rPr>
                <w:rFonts w:cstheme="minorHAnsi"/>
                <w:sz w:val="20"/>
                <w:szCs w:val="20"/>
                <w:lang w:val="en-US"/>
              </w:rPr>
              <w:t xml:space="preserve"> </w:t>
            </w:r>
            <w:r w:rsidRPr="002754C9">
              <w:rPr>
                <w:rFonts w:cstheme="minorHAnsi"/>
                <w:sz w:val="20"/>
                <w:szCs w:val="20"/>
                <w:lang w:val="en-US"/>
              </w:rPr>
              <w:t>score</w:t>
            </w:r>
            <w:r>
              <w:rPr>
                <w:rFonts w:cstheme="minorHAnsi"/>
                <w:sz w:val="20"/>
                <w:szCs w:val="20"/>
                <w:lang w:val="en-US"/>
              </w:rPr>
              <w:t xml:space="preserve"> </w:t>
            </w:r>
            <w:r w:rsidRPr="002754C9">
              <w:rPr>
                <w:rFonts w:cstheme="minorHAnsi"/>
                <w:sz w:val="20"/>
                <w:szCs w:val="20"/>
                <w:lang w:val="en-US"/>
              </w:rPr>
              <w:t>(placebo-corrected change, –2.8; P = .05) and 3.4 points in the MG</w:t>
            </w:r>
            <w:r>
              <w:rPr>
                <w:rFonts w:cstheme="minorHAnsi"/>
                <w:sz w:val="20"/>
                <w:szCs w:val="20"/>
                <w:lang w:val="en-US"/>
              </w:rPr>
              <w:t>-ADL</w:t>
            </w:r>
            <w:r w:rsidRPr="002754C9">
              <w:rPr>
                <w:rFonts w:cstheme="minorHAnsi"/>
                <w:sz w:val="20"/>
                <w:szCs w:val="20"/>
                <w:lang w:val="en-US"/>
              </w:rPr>
              <w:t xml:space="preserve"> score (placebo-corrected change, –2.3; P = .04). </w:t>
            </w:r>
            <w:proofErr w:type="spellStart"/>
            <w:r w:rsidRPr="002754C9">
              <w:rPr>
                <w:rFonts w:cstheme="minorHAnsi"/>
                <w:sz w:val="20"/>
                <w:szCs w:val="20"/>
                <w:lang w:val="en-US"/>
              </w:rPr>
              <w:t>Zilucoplan</w:t>
            </w:r>
            <w:proofErr w:type="spellEnd"/>
            <w:r w:rsidRPr="002754C9">
              <w:rPr>
                <w:rFonts w:cstheme="minorHAnsi"/>
                <w:sz w:val="20"/>
                <w:szCs w:val="20"/>
                <w:lang w:val="en-US"/>
              </w:rPr>
              <w:t xml:space="preserve"> was observed to have a favorable safety and tolerability profile.</w:t>
            </w:r>
          </w:p>
        </w:tc>
        <w:tc>
          <w:tcPr>
            <w:tcW w:w="1276" w:type="dxa"/>
            <w:shd w:val="clear" w:color="auto" w:fill="auto"/>
            <w:noWrap/>
            <w:vAlign w:val="center"/>
          </w:tcPr>
          <w:p w14:paraId="3379329A" w14:textId="77777777" w:rsidR="00E0319A" w:rsidRPr="007B40AB" w:rsidRDefault="00E0319A" w:rsidP="00E0158D">
            <w:pPr>
              <w:spacing w:after="0" w:line="240" w:lineRule="auto"/>
              <w:jc w:val="both"/>
              <w:rPr>
                <w:rFonts w:eastAsia="Times New Roman" w:cstheme="minorHAnsi"/>
                <w:color w:val="000000"/>
                <w:sz w:val="20"/>
                <w:szCs w:val="20"/>
                <w:lang w:val="en-US" w:eastAsia="it-IT"/>
              </w:rPr>
            </w:pPr>
            <w:proofErr w:type="spellStart"/>
            <w:r w:rsidRPr="007B40AB">
              <w:rPr>
                <w:rFonts w:cstheme="minorHAnsi"/>
                <w:sz w:val="20"/>
                <w:szCs w:val="20"/>
              </w:rPr>
              <w:t>Completed</w:t>
            </w:r>
            <w:proofErr w:type="spellEnd"/>
          </w:p>
        </w:tc>
      </w:tr>
      <w:tr w:rsidR="00E0319A" w:rsidRPr="005E4073" w14:paraId="2F02143C" w14:textId="77777777" w:rsidTr="00E0158D">
        <w:trPr>
          <w:trHeight w:val="285"/>
        </w:trPr>
        <w:tc>
          <w:tcPr>
            <w:tcW w:w="16444" w:type="dxa"/>
            <w:gridSpan w:val="8"/>
            <w:shd w:val="clear" w:color="auto" w:fill="D5DCE4" w:themeFill="text2" w:themeFillTint="33"/>
          </w:tcPr>
          <w:p w14:paraId="7DB1F49D" w14:textId="77777777" w:rsidR="00E0319A" w:rsidRPr="00FC3081" w:rsidRDefault="00E0319A" w:rsidP="00E0158D">
            <w:pPr>
              <w:spacing w:after="0" w:line="240" w:lineRule="auto"/>
              <w:rPr>
                <w:rFonts w:ascii="Calibri" w:eastAsia="Times New Roman" w:hAnsi="Calibri" w:cs="Calibri"/>
                <w:b/>
                <w:bCs/>
                <w:color w:val="000000"/>
                <w:kern w:val="0"/>
                <w:sz w:val="20"/>
                <w:szCs w:val="20"/>
                <w:lang w:eastAsia="it-IT"/>
                <w14:ligatures w14:val="none"/>
              </w:rPr>
            </w:pPr>
            <w:r w:rsidRPr="002C5F4C">
              <w:rPr>
                <w:rFonts w:ascii="Calibri" w:hAnsi="Calibri" w:cs="Calibri"/>
                <w:b/>
                <w:bCs/>
                <w:color w:val="000000"/>
                <w:sz w:val="20"/>
                <w:szCs w:val="20"/>
                <w:lang w:val="en-US"/>
              </w:rPr>
              <w:t>Expanded access program</w:t>
            </w:r>
            <w:r>
              <w:rPr>
                <w:rFonts w:ascii="Calibri" w:hAnsi="Calibri" w:cs="Calibri"/>
                <w:b/>
                <w:bCs/>
                <w:color w:val="000000"/>
                <w:sz w:val="20"/>
                <w:szCs w:val="20"/>
                <w:lang w:val="en-US"/>
              </w:rPr>
              <w:t xml:space="preserve"> studies</w:t>
            </w:r>
          </w:p>
        </w:tc>
      </w:tr>
      <w:tr w:rsidR="00E0319A" w:rsidRPr="005E4073" w14:paraId="4D0DA28E" w14:textId="77777777" w:rsidTr="00E0319A">
        <w:trPr>
          <w:trHeight w:val="285"/>
        </w:trPr>
        <w:tc>
          <w:tcPr>
            <w:tcW w:w="2269" w:type="dxa"/>
            <w:shd w:val="clear" w:color="auto" w:fill="auto"/>
            <w:noWrap/>
            <w:vAlign w:val="center"/>
          </w:tcPr>
          <w:p w14:paraId="7DCF1C88" w14:textId="3F0C9651" w:rsidR="00E0319A" w:rsidRPr="00563523" w:rsidRDefault="00E0319A" w:rsidP="00E0319A">
            <w:pPr>
              <w:spacing w:after="0" w:line="240" w:lineRule="auto"/>
              <w:rPr>
                <w:rFonts w:ascii="Calibri" w:hAnsi="Calibri" w:cs="Calibri"/>
                <w:color w:val="000000"/>
                <w:sz w:val="20"/>
                <w:szCs w:val="20"/>
                <w:lang w:val="en-US"/>
              </w:rPr>
            </w:pPr>
            <w:bookmarkStart w:id="22" w:name="_Hlk151997817"/>
            <w:r w:rsidRPr="00563523">
              <w:rPr>
                <w:rFonts w:ascii="Calibri" w:hAnsi="Calibri" w:cs="Calibri"/>
                <w:color w:val="000000"/>
                <w:sz w:val="20"/>
                <w:szCs w:val="20"/>
                <w:lang w:val="en-US"/>
              </w:rPr>
              <w:t>NCT04777734</w:t>
            </w:r>
            <w:bookmarkEnd w:id="22"/>
            <w:r w:rsidR="00FE3BFE">
              <w:rPr>
                <w:rFonts w:ascii="Calibri" w:hAnsi="Calibri" w:cs="Calibri"/>
                <w:color w:val="000000"/>
                <w:sz w:val="20"/>
                <w:szCs w:val="20"/>
                <w:lang w:val="en-US"/>
              </w:rPr>
              <w:t xml:space="preserve"> [114]</w:t>
            </w:r>
          </w:p>
        </w:tc>
        <w:tc>
          <w:tcPr>
            <w:tcW w:w="764" w:type="dxa"/>
            <w:vAlign w:val="center"/>
          </w:tcPr>
          <w:p w14:paraId="0D868C57" w14:textId="77777777" w:rsidR="00E0319A" w:rsidRPr="00563523" w:rsidRDefault="00E0319A" w:rsidP="00E0158D">
            <w:pPr>
              <w:spacing w:after="0" w:line="240" w:lineRule="auto"/>
              <w:rPr>
                <w:sz w:val="20"/>
                <w:szCs w:val="20"/>
              </w:rPr>
            </w:pPr>
            <w:r>
              <w:rPr>
                <w:rFonts w:eastAsia="Times New Roman" w:cstheme="minorHAnsi"/>
                <w:color w:val="000000"/>
                <w:sz w:val="20"/>
                <w:szCs w:val="20"/>
                <w:lang w:val="en-US" w:eastAsia="it-IT"/>
              </w:rPr>
              <w:t>N.A.</w:t>
            </w:r>
          </w:p>
        </w:tc>
        <w:tc>
          <w:tcPr>
            <w:tcW w:w="1498" w:type="dxa"/>
            <w:shd w:val="clear" w:color="auto" w:fill="auto"/>
            <w:noWrap/>
            <w:vAlign w:val="center"/>
          </w:tcPr>
          <w:p w14:paraId="7DC28DB0" w14:textId="77777777" w:rsidR="00E0319A" w:rsidRPr="00563523" w:rsidRDefault="00E0319A" w:rsidP="00E0158D">
            <w:pPr>
              <w:spacing w:after="0" w:line="240" w:lineRule="auto"/>
              <w:rPr>
                <w:rFonts w:ascii="Calibri" w:eastAsia="Times New Roman" w:hAnsi="Calibri" w:cs="Calibri"/>
                <w:color w:val="000000"/>
                <w:kern w:val="0"/>
                <w:sz w:val="20"/>
                <w:szCs w:val="20"/>
                <w:lang w:val="en-US" w:eastAsia="it-IT"/>
                <w14:ligatures w14:val="none"/>
              </w:rPr>
            </w:pPr>
            <w:proofErr w:type="spellStart"/>
            <w:r w:rsidRPr="00563523">
              <w:rPr>
                <w:sz w:val="20"/>
                <w:szCs w:val="20"/>
              </w:rPr>
              <w:t>Efgartigimod</w:t>
            </w:r>
            <w:proofErr w:type="spellEnd"/>
          </w:p>
        </w:tc>
        <w:tc>
          <w:tcPr>
            <w:tcW w:w="1707" w:type="dxa"/>
            <w:shd w:val="clear" w:color="auto" w:fill="auto"/>
            <w:noWrap/>
            <w:vAlign w:val="center"/>
          </w:tcPr>
          <w:p w14:paraId="2BC29FF6" w14:textId="1BDFBE72" w:rsidR="00E0319A" w:rsidRPr="00563523" w:rsidRDefault="00E0319A" w:rsidP="00E0158D">
            <w:pPr>
              <w:spacing w:after="0" w:line="240" w:lineRule="auto"/>
              <w:rPr>
                <w:rFonts w:ascii="Calibri" w:eastAsia="Times New Roman" w:hAnsi="Calibri" w:cs="Calibri"/>
                <w:color w:val="000000"/>
                <w:kern w:val="0"/>
                <w:sz w:val="20"/>
                <w:szCs w:val="20"/>
                <w:lang w:val="en-US" w:eastAsia="it-IT"/>
                <w14:ligatures w14:val="none"/>
              </w:rPr>
            </w:pPr>
            <w:r w:rsidRPr="00563523">
              <w:rPr>
                <w:rFonts w:ascii="Calibri" w:eastAsia="Times New Roman" w:hAnsi="Calibri" w:cs="Calibri"/>
                <w:color w:val="000000"/>
                <w:kern w:val="0"/>
                <w:sz w:val="20"/>
                <w:szCs w:val="20"/>
                <w:lang w:val="en-US" w:eastAsia="it-IT"/>
                <w14:ligatures w14:val="none"/>
              </w:rPr>
              <w:t>≥ 18</w:t>
            </w:r>
          </w:p>
        </w:tc>
        <w:tc>
          <w:tcPr>
            <w:tcW w:w="1843" w:type="dxa"/>
            <w:vAlign w:val="center"/>
          </w:tcPr>
          <w:p w14:paraId="647F6021" w14:textId="77777777" w:rsidR="00E0319A" w:rsidRDefault="00E0319A" w:rsidP="00E0319A">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Not reported</w:t>
            </w:r>
          </w:p>
        </w:tc>
        <w:tc>
          <w:tcPr>
            <w:tcW w:w="3118" w:type="dxa"/>
            <w:vAlign w:val="center"/>
          </w:tcPr>
          <w:p w14:paraId="0597C1EF" w14:textId="77777777" w:rsidR="00E0319A" w:rsidRPr="00563523" w:rsidRDefault="00E0319A" w:rsidP="00E0319A">
            <w:pPr>
              <w:spacing w:after="0" w:line="240" w:lineRule="auto"/>
              <w:rPr>
                <w:rFonts w:eastAsia="Times New Roman" w:cstheme="minorHAnsi"/>
                <w:color w:val="000000"/>
                <w:sz w:val="20"/>
                <w:szCs w:val="20"/>
                <w:lang w:eastAsia="it-IT"/>
              </w:rPr>
            </w:pPr>
            <w:r>
              <w:rPr>
                <w:rFonts w:eastAsia="Times New Roman" w:cstheme="minorHAnsi"/>
                <w:color w:val="000000"/>
                <w:sz w:val="20"/>
                <w:szCs w:val="20"/>
                <w:lang w:val="en-US" w:eastAsia="it-IT"/>
              </w:rPr>
              <w:t>N.A.</w:t>
            </w:r>
          </w:p>
        </w:tc>
        <w:tc>
          <w:tcPr>
            <w:tcW w:w="3969" w:type="dxa"/>
            <w:shd w:val="clear" w:color="auto" w:fill="auto"/>
            <w:noWrap/>
            <w:vAlign w:val="center"/>
          </w:tcPr>
          <w:p w14:paraId="29F7AF8A" w14:textId="77777777" w:rsidR="00E0319A" w:rsidRPr="00563523" w:rsidRDefault="00E0319A" w:rsidP="00E0158D">
            <w:pPr>
              <w:spacing w:after="0" w:line="240" w:lineRule="auto"/>
              <w:rPr>
                <w:sz w:val="20"/>
                <w:szCs w:val="20"/>
              </w:rPr>
            </w:pPr>
            <w:r>
              <w:rPr>
                <w:sz w:val="20"/>
                <w:szCs w:val="20"/>
              </w:rPr>
              <w:t xml:space="preserve">Not </w:t>
            </w:r>
            <w:proofErr w:type="spellStart"/>
            <w:r>
              <w:rPr>
                <w:sz w:val="20"/>
                <w:szCs w:val="20"/>
              </w:rPr>
              <w:t>available</w:t>
            </w:r>
            <w:proofErr w:type="spellEnd"/>
          </w:p>
        </w:tc>
        <w:tc>
          <w:tcPr>
            <w:tcW w:w="1276" w:type="dxa"/>
            <w:shd w:val="clear" w:color="auto" w:fill="auto"/>
            <w:noWrap/>
            <w:vAlign w:val="center"/>
          </w:tcPr>
          <w:p w14:paraId="1E160013" w14:textId="77777777" w:rsidR="00E0319A" w:rsidRPr="002C5F4C" w:rsidRDefault="00E0319A" w:rsidP="00E0319A">
            <w:pPr>
              <w:spacing w:after="0" w:line="240" w:lineRule="auto"/>
              <w:rPr>
                <w:rFonts w:ascii="Calibri" w:eastAsia="Times New Roman" w:hAnsi="Calibri" w:cs="Calibri"/>
                <w:color w:val="000000"/>
                <w:kern w:val="0"/>
                <w:sz w:val="20"/>
                <w:szCs w:val="20"/>
                <w:lang w:eastAsia="it-IT"/>
                <w14:ligatures w14:val="none"/>
              </w:rPr>
            </w:pPr>
            <w:proofErr w:type="spellStart"/>
            <w:r>
              <w:rPr>
                <w:sz w:val="20"/>
                <w:szCs w:val="20"/>
              </w:rPr>
              <w:t>Ongoing</w:t>
            </w:r>
            <w:proofErr w:type="spellEnd"/>
          </w:p>
        </w:tc>
      </w:tr>
      <w:tr w:rsidR="00E0319A" w:rsidRPr="00372CEA" w14:paraId="78E4D1AB" w14:textId="77777777" w:rsidTr="00E0158D">
        <w:trPr>
          <w:trHeight w:val="285"/>
        </w:trPr>
        <w:tc>
          <w:tcPr>
            <w:tcW w:w="16444" w:type="dxa"/>
            <w:gridSpan w:val="8"/>
            <w:shd w:val="clear" w:color="auto" w:fill="D5DCE4" w:themeFill="text2" w:themeFillTint="33"/>
          </w:tcPr>
          <w:p w14:paraId="1F2210A2" w14:textId="77777777" w:rsidR="00E0319A" w:rsidRPr="00FC3081" w:rsidRDefault="00E0319A" w:rsidP="00E0158D">
            <w:pPr>
              <w:spacing w:after="0" w:line="240" w:lineRule="auto"/>
              <w:rPr>
                <w:rFonts w:eastAsia="Times New Roman" w:cstheme="minorHAnsi"/>
                <w:b/>
                <w:bCs/>
                <w:color w:val="000000"/>
                <w:sz w:val="20"/>
                <w:szCs w:val="20"/>
                <w:lang w:eastAsia="it-IT"/>
              </w:rPr>
            </w:pPr>
            <w:r w:rsidRPr="002C5F4C">
              <w:rPr>
                <w:rFonts w:ascii="Calibri" w:hAnsi="Calibri" w:cs="Calibri"/>
                <w:b/>
                <w:bCs/>
                <w:color w:val="000000"/>
                <w:sz w:val="20"/>
                <w:szCs w:val="20"/>
                <w:lang w:val="en-US"/>
              </w:rPr>
              <w:t>Observational studies</w:t>
            </w:r>
          </w:p>
        </w:tc>
      </w:tr>
      <w:tr w:rsidR="00E0319A" w:rsidRPr="008D6439" w14:paraId="30324958" w14:textId="77777777" w:rsidTr="00E0319A">
        <w:trPr>
          <w:trHeight w:val="285"/>
        </w:trPr>
        <w:tc>
          <w:tcPr>
            <w:tcW w:w="2269" w:type="dxa"/>
            <w:shd w:val="clear" w:color="auto" w:fill="auto"/>
            <w:noWrap/>
            <w:vAlign w:val="center"/>
          </w:tcPr>
          <w:p w14:paraId="7D4C7D83" w14:textId="6DF6D794" w:rsidR="00E0319A" w:rsidRPr="00563523" w:rsidRDefault="00E0319A" w:rsidP="00E0319A">
            <w:pPr>
              <w:spacing w:after="0" w:line="240" w:lineRule="auto"/>
              <w:rPr>
                <w:rFonts w:ascii="Calibri" w:hAnsi="Calibri" w:cs="Calibri"/>
                <w:color w:val="000000"/>
                <w:sz w:val="20"/>
                <w:szCs w:val="20"/>
                <w:lang w:val="en-US"/>
              </w:rPr>
            </w:pPr>
            <w:bookmarkStart w:id="23" w:name="_Hlk151997853"/>
            <w:r w:rsidRPr="00563523">
              <w:rPr>
                <w:rFonts w:ascii="Calibri" w:hAnsi="Calibri" w:cs="Calibri"/>
                <w:color w:val="000000"/>
                <w:sz w:val="20"/>
                <w:szCs w:val="20"/>
                <w:lang w:val="en-US"/>
              </w:rPr>
              <w:t>NCT04202341</w:t>
            </w:r>
            <w:r w:rsidR="00FE3BFE">
              <w:rPr>
                <w:rFonts w:ascii="Calibri" w:hAnsi="Calibri" w:cs="Calibri"/>
                <w:color w:val="000000"/>
                <w:sz w:val="20"/>
                <w:szCs w:val="20"/>
                <w:lang w:val="en-US"/>
              </w:rPr>
              <w:t xml:space="preserve"> </w:t>
            </w:r>
            <w:bookmarkEnd w:id="23"/>
            <w:r w:rsidR="00FE3BFE">
              <w:rPr>
                <w:rFonts w:ascii="Calibri" w:hAnsi="Calibri" w:cs="Calibri"/>
                <w:color w:val="000000"/>
                <w:sz w:val="20"/>
                <w:szCs w:val="20"/>
                <w:lang w:val="en-US"/>
              </w:rPr>
              <w:t>[115]</w:t>
            </w:r>
          </w:p>
        </w:tc>
        <w:tc>
          <w:tcPr>
            <w:tcW w:w="764" w:type="dxa"/>
            <w:vAlign w:val="center"/>
          </w:tcPr>
          <w:p w14:paraId="7A77F61C" w14:textId="77777777" w:rsidR="00E0319A" w:rsidRPr="00563523" w:rsidRDefault="00E0319A" w:rsidP="00E0158D">
            <w:pPr>
              <w:spacing w:after="0" w:line="240" w:lineRule="auto"/>
              <w:rPr>
                <w:sz w:val="20"/>
                <w:szCs w:val="20"/>
                <w:lang w:val="en-US"/>
              </w:rPr>
            </w:pPr>
            <w:r>
              <w:rPr>
                <w:rFonts w:eastAsia="Times New Roman" w:cstheme="minorHAnsi"/>
                <w:color w:val="000000"/>
                <w:sz w:val="20"/>
                <w:szCs w:val="20"/>
                <w:lang w:val="en-US" w:eastAsia="it-IT"/>
              </w:rPr>
              <w:t>N.A.</w:t>
            </w:r>
          </w:p>
        </w:tc>
        <w:tc>
          <w:tcPr>
            <w:tcW w:w="1498" w:type="dxa"/>
            <w:shd w:val="clear" w:color="auto" w:fill="auto"/>
            <w:noWrap/>
            <w:vAlign w:val="center"/>
          </w:tcPr>
          <w:p w14:paraId="6729832F" w14:textId="77777777" w:rsidR="00E0319A" w:rsidRPr="00563523" w:rsidRDefault="00E0319A" w:rsidP="00E0158D">
            <w:pPr>
              <w:spacing w:after="0" w:line="240" w:lineRule="auto"/>
              <w:rPr>
                <w:rFonts w:ascii="Calibri" w:eastAsia="Times New Roman" w:hAnsi="Calibri" w:cs="Calibri"/>
                <w:color w:val="000000"/>
                <w:kern w:val="0"/>
                <w:sz w:val="20"/>
                <w:szCs w:val="20"/>
                <w:lang w:val="en-US" w:eastAsia="it-IT"/>
                <w14:ligatures w14:val="none"/>
              </w:rPr>
            </w:pPr>
            <w:r w:rsidRPr="00563523">
              <w:rPr>
                <w:sz w:val="20"/>
                <w:szCs w:val="20"/>
                <w:lang w:val="en-US"/>
              </w:rPr>
              <w:t xml:space="preserve">Eculizumab, </w:t>
            </w:r>
            <w:proofErr w:type="spellStart"/>
            <w:r w:rsidRPr="00563523">
              <w:rPr>
                <w:sz w:val="20"/>
                <w:szCs w:val="20"/>
                <w:lang w:val="en-US"/>
              </w:rPr>
              <w:t>Ravulizumab</w:t>
            </w:r>
            <w:proofErr w:type="spellEnd"/>
          </w:p>
        </w:tc>
        <w:tc>
          <w:tcPr>
            <w:tcW w:w="1707" w:type="dxa"/>
            <w:shd w:val="clear" w:color="auto" w:fill="auto"/>
            <w:noWrap/>
            <w:vAlign w:val="center"/>
          </w:tcPr>
          <w:p w14:paraId="3E9A9B62" w14:textId="573A9DAC" w:rsidR="00E0319A" w:rsidRPr="00563523" w:rsidRDefault="00E0319A" w:rsidP="00E0158D">
            <w:pPr>
              <w:spacing w:after="0" w:line="240" w:lineRule="auto"/>
              <w:rPr>
                <w:rFonts w:ascii="Calibri" w:eastAsia="Times New Roman" w:hAnsi="Calibri" w:cs="Calibri"/>
                <w:color w:val="000000"/>
                <w:kern w:val="0"/>
                <w:sz w:val="20"/>
                <w:szCs w:val="20"/>
                <w:lang w:val="en-US" w:eastAsia="it-IT"/>
                <w14:ligatures w14:val="none"/>
              </w:rPr>
            </w:pPr>
            <w:r w:rsidRPr="00563523">
              <w:rPr>
                <w:rFonts w:ascii="Calibri" w:eastAsia="Times New Roman" w:hAnsi="Calibri" w:cs="Calibri"/>
                <w:color w:val="000000"/>
                <w:kern w:val="0"/>
                <w:sz w:val="20"/>
                <w:szCs w:val="20"/>
                <w:lang w:val="en-US" w:eastAsia="it-IT"/>
                <w14:ligatures w14:val="none"/>
              </w:rPr>
              <w:t>≥ 18</w:t>
            </w:r>
          </w:p>
        </w:tc>
        <w:tc>
          <w:tcPr>
            <w:tcW w:w="1843" w:type="dxa"/>
            <w:vAlign w:val="center"/>
          </w:tcPr>
          <w:p w14:paraId="4C47DB5D" w14:textId="77777777" w:rsidR="00E0319A" w:rsidRPr="00A65201" w:rsidRDefault="00E0319A" w:rsidP="00E0319A">
            <w:pPr>
              <w:spacing w:after="0" w:line="240" w:lineRule="auto"/>
              <w:rPr>
                <w:rFonts w:eastAsia="Times New Roman" w:cstheme="minorHAnsi"/>
                <w:color w:val="000000"/>
                <w:sz w:val="20"/>
                <w:szCs w:val="20"/>
                <w:lang w:val="en-US" w:eastAsia="it-IT"/>
              </w:rPr>
            </w:pPr>
            <w:r>
              <w:rPr>
                <w:rFonts w:eastAsia="Times New Roman" w:cstheme="minorHAnsi"/>
                <w:color w:val="000000"/>
                <w:sz w:val="20"/>
                <w:szCs w:val="20"/>
                <w:lang w:val="en-US" w:eastAsia="it-IT"/>
              </w:rPr>
              <w:t>500</w:t>
            </w:r>
          </w:p>
        </w:tc>
        <w:tc>
          <w:tcPr>
            <w:tcW w:w="3118" w:type="dxa"/>
            <w:vAlign w:val="center"/>
          </w:tcPr>
          <w:p w14:paraId="7BB753AD" w14:textId="77777777" w:rsidR="00E0319A" w:rsidRPr="00A65201" w:rsidRDefault="00E0319A" w:rsidP="00E0319A">
            <w:pPr>
              <w:spacing w:after="0" w:line="240" w:lineRule="auto"/>
              <w:rPr>
                <w:rFonts w:ascii="Calibri" w:eastAsia="Times New Roman" w:hAnsi="Calibri" w:cs="Calibri"/>
                <w:color w:val="000000"/>
                <w:kern w:val="0"/>
                <w:sz w:val="20"/>
                <w:szCs w:val="20"/>
                <w:lang w:val="en-US" w:eastAsia="it-IT"/>
                <w14:ligatures w14:val="none"/>
              </w:rPr>
            </w:pPr>
            <w:r w:rsidRPr="00A65201">
              <w:rPr>
                <w:rFonts w:eastAsia="Times New Roman" w:cstheme="minorHAnsi"/>
                <w:color w:val="000000"/>
                <w:sz w:val="20"/>
                <w:szCs w:val="20"/>
                <w:lang w:val="en-US" w:eastAsia="it-IT"/>
              </w:rPr>
              <w:t>Change in total score of the MG-ADL scale (approximate 5-year follow-up from enrollment)</w:t>
            </w:r>
          </w:p>
        </w:tc>
        <w:tc>
          <w:tcPr>
            <w:tcW w:w="3969" w:type="dxa"/>
            <w:shd w:val="clear" w:color="auto" w:fill="auto"/>
            <w:noWrap/>
            <w:vAlign w:val="center"/>
          </w:tcPr>
          <w:p w14:paraId="43120C55" w14:textId="77777777" w:rsidR="00E0319A" w:rsidRPr="00563523" w:rsidRDefault="00E0319A" w:rsidP="00E0158D">
            <w:pPr>
              <w:spacing w:after="0" w:line="240" w:lineRule="auto"/>
              <w:rPr>
                <w:sz w:val="20"/>
                <w:szCs w:val="20"/>
                <w:lang w:val="en-US"/>
              </w:rPr>
            </w:pPr>
            <w:r>
              <w:rPr>
                <w:sz w:val="20"/>
                <w:szCs w:val="20"/>
                <w:lang w:val="en-US"/>
              </w:rPr>
              <w:t>Not available</w:t>
            </w:r>
          </w:p>
        </w:tc>
        <w:tc>
          <w:tcPr>
            <w:tcW w:w="1276" w:type="dxa"/>
            <w:shd w:val="clear" w:color="auto" w:fill="auto"/>
            <w:noWrap/>
            <w:vAlign w:val="center"/>
          </w:tcPr>
          <w:p w14:paraId="266FF5B8" w14:textId="77777777" w:rsidR="00E0319A" w:rsidRPr="002C5F4C" w:rsidRDefault="00E0319A" w:rsidP="00E0319A">
            <w:pPr>
              <w:spacing w:after="0" w:line="240" w:lineRule="auto"/>
              <w:rPr>
                <w:rFonts w:eastAsia="Times New Roman" w:cstheme="minorHAnsi"/>
                <w:color w:val="000000"/>
                <w:sz w:val="20"/>
                <w:szCs w:val="20"/>
                <w:lang w:val="en-US" w:eastAsia="it-IT"/>
              </w:rPr>
            </w:pPr>
            <w:proofErr w:type="spellStart"/>
            <w:r>
              <w:rPr>
                <w:sz w:val="20"/>
                <w:szCs w:val="20"/>
              </w:rPr>
              <w:t>Ongoing</w:t>
            </w:r>
            <w:proofErr w:type="spellEnd"/>
          </w:p>
        </w:tc>
      </w:tr>
    </w:tbl>
    <w:bookmarkEnd w:id="12"/>
    <w:p w14:paraId="143482F9" w14:textId="77777777" w:rsidR="00E0319A" w:rsidRPr="00A65201" w:rsidRDefault="00E0319A" w:rsidP="00E0319A">
      <w:pPr>
        <w:spacing w:after="0" w:line="276" w:lineRule="auto"/>
        <w:jc w:val="both"/>
        <w:rPr>
          <w:sz w:val="20"/>
          <w:szCs w:val="20"/>
          <w:lang w:val="en-US"/>
        </w:rPr>
      </w:pPr>
      <w:r w:rsidRPr="00A65201">
        <w:rPr>
          <w:b/>
          <w:bCs/>
          <w:sz w:val="20"/>
          <w:szCs w:val="20"/>
          <w:lang w:val="en-US"/>
        </w:rPr>
        <w:t xml:space="preserve">Abbreviations: </w:t>
      </w:r>
      <w:proofErr w:type="spellStart"/>
      <w:r w:rsidRPr="00A65201">
        <w:rPr>
          <w:sz w:val="20"/>
          <w:szCs w:val="20"/>
          <w:lang w:val="en-US"/>
        </w:rPr>
        <w:t>AChR</w:t>
      </w:r>
      <w:proofErr w:type="spellEnd"/>
      <w:r w:rsidRPr="00A65201">
        <w:rPr>
          <w:sz w:val="20"/>
          <w:szCs w:val="20"/>
          <w:lang w:val="en-US"/>
        </w:rPr>
        <w:t xml:space="preserve"> = Acetylcholine Receptor;</w:t>
      </w:r>
      <w:r>
        <w:rPr>
          <w:sz w:val="20"/>
          <w:szCs w:val="20"/>
          <w:lang w:val="en-US"/>
        </w:rPr>
        <w:t xml:space="preserve"> </w:t>
      </w:r>
      <w:proofErr w:type="spellStart"/>
      <w:r>
        <w:rPr>
          <w:sz w:val="20"/>
          <w:szCs w:val="20"/>
          <w:lang w:val="en-US"/>
        </w:rPr>
        <w:t>gMG</w:t>
      </w:r>
      <w:proofErr w:type="spellEnd"/>
      <w:r>
        <w:rPr>
          <w:sz w:val="20"/>
          <w:szCs w:val="20"/>
          <w:lang w:val="en-US"/>
        </w:rPr>
        <w:t xml:space="preserve"> = </w:t>
      </w:r>
      <w:r w:rsidRPr="00EE1F6E">
        <w:rPr>
          <w:sz w:val="20"/>
          <w:szCs w:val="20"/>
          <w:lang w:val="en-US"/>
        </w:rPr>
        <w:t>Qualitative Myasthenia Gravis score</w:t>
      </w:r>
      <w:r>
        <w:rPr>
          <w:sz w:val="20"/>
          <w:szCs w:val="20"/>
          <w:lang w:val="en-US"/>
        </w:rPr>
        <w:t>;</w:t>
      </w:r>
      <w:r w:rsidRPr="00A65201">
        <w:rPr>
          <w:sz w:val="20"/>
          <w:szCs w:val="20"/>
          <w:lang w:val="en-US"/>
        </w:rPr>
        <w:t xml:space="preserve"> </w:t>
      </w:r>
      <w:r>
        <w:rPr>
          <w:sz w:val="20"/>
          <w:szCs w:val="20"/>
          <w:lang w:val="en-US"/>
        </w:rPr>
        <w:t xml:space="preserve">IC = confidence interval; </w:t>
      </w:r>
      <w:r w:rsidRPr="00A65201">
        <w:rPr>
          <w:sz w:val="20"/>
          <w:szCs w:val="20"/>
          <w:lang w:val="en-US"/>
        </w:rPr>
        <w:t>IgG = Immunoglobulin G; MG-ADL = Myasthenia Gravis-Activities of Daily Living; N.A. = Not Applicable; NCT = National Clinical Trial number; QMG = Quantitative Myasthenia Gravis Scoring System.</w:t>
      </w:r>
    </w:p>
    <w:p w14:paraId="3D91414E" w14:textId="77777777" w:rsidR="00E0319A" w:rsidRPr="00E0319A" w:rsidRDefault="00E0319A" w:rsidP="00E0319A">
      <w:pPr>
        <w:spacing w:after="0"/>
        <w:jc w:val="both"/>
        <w:rPr>
          <w:sz w:val="20"/>
          <w:szCs w:val="20"/>
          <w:lang w:val="en-US"/>
        </w:rPr>
      </w:pPr>
      <w:r w:rsidRPr="00E0319A">
        <w:rPr>
          <w:b/>
          <w:bCs/>
          <w:sz w:val="20"/>
          <w:szCs w:val="20"/>
          <w:vertAlign w:val="superscript"/>
          <w:lang w:val="en-US"/>
        </w:rPr>
        <w:t>#</w:t>
      </w:r>
      <w:r>
        <w:rPr>
          <w:sz w:val="20"/>
          <w:szCs w:val="20"/>
          <w:lang w:val="en-US"/>
        </w:rPr>
        <w:t>The number of patients analyzed for the primary outcome</w:t>
      </w:r>
      <w:r w:rsidRPr="00E0319A">
        <w:rPr>
          <w:sz w:val="20"/>
          <w:szCs w:val="20"/>
          <w:lang w:val="en-US"/>
        </w:rPr>
        <w:t xml:space="preserve"> was reported. </w:t>
      </w:r>
      <w:r>
        <w:rPr>
          <w:sz w:val="20"/>
          <w:szCs w:val="20"/>
          <w:lang w:val="en-US"/>
        </w:rPr>
        <w:t xml:space="preserve">For studies for which results were not available, the estimated enrollment was reported. </w:t>
      </w:r>
    </w:p>
    <w:p w14:paraId="088325AE" w14:textId="77777777" w:rsidR="00E0319A" w:rsidRPr="00E0319A" w:rsidRDefault="00E0319A" w:rsidP="00E0319A">
      <w:pPr>
        <w:jc w:val="both"/>
        <w:rPr>
          <w:lang w:val="en-US"/>
        </w:rPr>
        <w:sectPr w:rsidR="00E0319A" w:rsidRPr="00E0319A" w:rsidSect="008D6B25">
          <w:pgSz w:w="16838" w:h="11906" w:orient="landscape"/>
          <w:pgMar w:top="1134" w:right="1417" w:bottom="1134" w:left="1134" w:header="708" w:footer="708" w:gutter="0"/>
          <w:cols w:space="708"/>
          <w:docGrid w:linePitch="360"/>
        </w:sectPr>
      </w:pPr>
      <w:r>
        <w:rPr>
          <w:b/>
          <w:bCs/>
          <w:lang w:val="en-US"/>
        </w:rPr>
        <w:t>*</w:t>
      </w:r>
      <w:r w:rsidRPr="00E0319A">
        <w:rPr>
          <w:rFonts w:eastAsia="Times New Roman" w:cstheme="minorHAnsi"/>
          <w:color w:val="000000"/>
          <w:sz w:val="20"/>
          <w:szCs w:val="20"/>
          <w:lang w:val="en-US" w:eastAsia="it-IT"/>
        </w:rPr>
        <w:t xml:space="preserve"> Preliminary</w:t>
      </w:r>
      <w:r>
        <w:rPr>
          <w:rFonts w:eastAsia="Times New Roman" w:cstheme="minorHAnsi"/>
          <w:color w:val="000000"/>
          <w:sz w:val="20"/>
          <w:szCs w:val="20"/>
          <w:lang w:val="en-US" w:eastAsia="it-IT"/>
        </w:rPr>
        <w:t xml:space="preserve"> results for o</w:t>
      </w:r>
      <w:r w:rsidRPr="00E0319A">
        <w:rPr>
          <w:rFonts w:eastAsia="Times New Roman" w:cstheme="minorHAnsi"/>
          <w:color w:val="000000"/>
          <w:sz w:val="20"/>
          <w:szCs w:val="20"/>
          <w:lang w:val="en-US" w:eastAsia="it-IT"/>
        </w:rPr>
        <w:t>ngoing</w:t>
      </w:r>
      <w:r>
        <w:rPr>
          <w:rFonts w:eastAsia="Times New Roman" w:cstheme="minorHAnsi"/>
          <w:color w:val="000000"/>
          <w:sz w:val="20"/>
          <w:szCs w:val="20"/>
          <w:lang w:val="en-US" w:eastAsia="it-IT"/>
        </w:rPr>
        <w:t xml:space="preserve"> studies were also reported.</w:t>
      </w:r>
    </w:p>
    <w:p w14:paraId="2A493D9C" w14:textId="3F2DC892" w:rsidR="00E0319A" w:rsidRPr="001507CC" w:rsidRDefault="00E0319A" w:rsidP="00E0319A">
      <w:pPr>
        <w:jc w:val="both"/>
        <w:rPr>
          <w:b/>
          <w:bCs/>
          <w:lang w:val="en-US"/>
        </w:rPr>
      </w:pPr>
      <w:r w:rsidRPr="001507CC">
        <w:rPr>
          <w:b/>
          <w:bCs/>
          <w:lang w:val="en-US"/>
        </w:rPr>
        <w:lastRenderedPageBreak/>
        <w:t xml:space="preserve">Table </w:t>
      </w:r>
      <w:r>
        <w:rPr>
          <w:b/>
          <w:bCs/>
          <w:lang w:val="en-US"/>
        </w:rPr>
        <w:t>4</w:t>
      </w:r>
      <w:r w:rsidRPr="001507CC">
        <w:rPr>
          <w:b/>
          <w:bCs/>
          <w:lang w:val="en-US"/>
        </w:rPr>
        <w:t xml:space="preserve">. </w:t>
      </w:r>
      <w:r>
        <w:rPr>
          <w:lang w:val="en-US"/>
        </w:rPr>
        <w:t>C</w:t>
      </w:r>
      <w:r w:rsidRPr="001507CC">
        <w:rPr>
          <w:lang w:val="en-US"/>
        </w:rPr>
        <w:t>linical trials registered on clinicaltrials.gov as of June 22, 2023, related to new molecules currently under evaluation for the treatment of MG.</w:t>
      </w:r>
    </w:p>
    <w:tbl>
      <w:tblPr>
        <w:tblW w:w="16160"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90"/>
        <w:gridCol w:w="2071"/>
        <w:gridCol w:w="1679"/>
        <w:gridCol w:w="641"/>
        <w:gridCol w:w="1701"/>
        <w:gridCol w:w="882"/>
        <w:gridCol w:w="3402"/>
        <w:gridCol w:w="3460"/>
        <w:gridCol w:w="1134"/>
      </w:tblGrid>
      <w:tr w:rsidR="00FE3BFE" w:rsidRPr="0081060E" w14:paraId="34808107" w14:textId="77777777" w:rsidTr="00FE3BFE">
        <w:trPr>
          <w:trHeight w:val="285"/>
        </w:trPr>
        <w:tc>
          <w:tcPr>
            <w:tcW w:w="1190" w:type="dxa"/>
            <w:vAlign w:val="center"/>
          </w:tcPr>
          <w:p w14:paraId="56CD4264" w14:textId="77777777" w:rsidR="00E0319A" w:rsidRPr="0081060E" w:rsidRDefault="00E0319A" w:rsidP="00E0158D">
            <w:pPr>
              <w:spacing w:after="0" w:line="240" w:lineRule="auto"/>
              <w:rPr>
                <w:rFonts w:eastAsia="Times New Roman" w:cstheme="minorHAnsi"/>
                <w:b/>
                <w:bCs/>
                <w:color w:val="000000"/>
                <w:sz w:val="20"/>
                <w:szCs w:val="20"/>
                <w:lang w:eastAsia="it-IT"/>
              </w:rPr>
            </w:pPr>
            <w:bookmarkStart w:id="24" w:name="_Hlk150787047"/>
            <w:r>
              <w:rPr>
                <w:rFonts w:eastAsia="Times New Roman" w:cstheme="minorHAnsi"/>
                <w:b/>
                <w:bCs/>
                <w:color w:val="000000"/>
                <w:sz w:val="20"/>
                <w:szCs w:val="20"/>
                <w:lang w:eastAsia="it-IT"/>
              </w:rPr>
              <w:t xml:space="preserve">Study </w:t>
            </w:r>
            <w:proofErr w:type="spellStart"/>
            <w:r>
              <w:rPr>
                <w:rFonts w:eastAsia="Times New Roman" w:cstheme="minorHAnsi"/>
                <w:b/>
                <w:bCs/>
                <w:color w:val="000000"/>
                <w:sz w:val="20"/>
                <w:szCs w:val="20"/>
                <w:lang w:eastAsia="it-IT"/>
              </w:rPr>
              <w:t>drug</w:t>
            </w:r>
            <w:proofErr w:type="spellEnd"/>
          </w:p>
        </w:tc>
        <w:tc>
          <w:tcPr>
            <w:tcW w:w="2071" w:type="dxa"/>
            <w:shd w:val="clear" w:color="auto" w:fill="auto"/>
            <w:noWrap/>
            <w:vAlign w:val="center"/>
          </w:tcPr>
          <w:p w14:paraId="1B78E36D" w14:textId="77777777" w:rsidR="00E0319A" w:rsidRPr="0081060E" w:rsidRDefault="00E0319A" w:rsidP="00E0158D">
            <w:pPr>
              <w:spacing w:after="0" w:line="240" w:lineRule="auto"/>
              <w:rPr>
                <w:rFonts w:eastAsia="Times New Roman" w:cstheme="minorHAnsi"/>
                <w:b/>
                <w:bCs/>
                <w:color w:val="000000"/>
                <w:sz w:val="20"/>
                <w:szCs w:val="20"/>
                <w:lang w:eastAsia="it-IT"/>
              </w:rPr>
            </w:pPr>
            <w:r w:rsidRPr="001507CC">
              <w:rPr>
                <w:rFonts w:eastAsia="Times New Roman" w:cstheme="minorHAnsi"/>
                <w:b/>
                <w:bCs/>
                <w:color w:val="000000"/>
                <w:sz w:val="20"/>
                <w:szCs w:val="20"/>
                <w:lang w:val="en-US" w:eastAsia="it-IT"/>
              </w:rPr>
              <w:t>Mechanism</w:t>
            </w:r>
            <w:r>
              <w:rPr>
                <w:rFonts w:eastAsia="Times New Roman" w:cstheme="minorHAnsi"/>
                <w:b/>
                <w:bCs/>
                <w:color w:val="000000"/>
                <w:sz w:val="20"/>
                <w:szCs w:val="20"/>
                <w:lang w:eastAsia="it-IT"/>
              </w:rPr>
              <w:t xml:space="preserve"> of Action</w:t>
            </w:r>
          </w:p>
        </w:tc>
        <w:tc>
          <w:tcPr>
            <w:tcW w:w="1679" w:type="dxa"/>
            <w:vAlign w:val="center"/>
          </w:tcPr>
          <w:p w14:paraId="07B9920F" w14:textId="77777777" w:rsidR="00E0319A" w:rsidRPr="0081060E" w:rsidRDefault="00E0319A" w:rsidP="00E0158D">
            <w:pPr>
              <w:spacing w:after="0" w:line="240" w:lineRule="auto"/>
              <w:rPr>
                <w:rFonts w:eastAsia="Times New Roman" w:cstheme="minorHAnsi"/>
                <w:b/>
                <w:bCs/>
                <w:color w:val="000000"/>
                <w:sz w:val="20"/>
                <w:szCs w:val="20"/>
                <w:lang w:eastAsia="it-IT"/>
              </w:rPr>
            </w:pPr>
            <w:r w:rsidRPr="0081060E">
              <w:rPr>
                <w:rFonts w:eastAsia="Times New Roman" w:cstheme="minorHAnsi"/>
                <w:b/>
                <w:bCs/>
                <w:color w:val="000000"/>
                <w:sz w:val="20"/>
                <w:szCs w:val="20"/>
                <w:lang w:eastAsia="it-IT"/>
              </w:rPr>
              <w:t>NCT</w:t>
            </w:r>
            <w:r>
              <w:rPr>
                <w:rFonts w:eastAsia="Times New Roman" w:cstheme="minorHAnsi"/>
                <w:b/>
                <w:bCs/>
                <w:color w:val="000000"/>
                <w:sz w:val="20"/>
                <w:szCs w:val="20"/>
                <w:lang w:eastAsia="it-IT"/>
              </w:rPr>
              <w:t xml:space="preserve"> </w:t>
            </w:r>
            <w:proofErr w:type="spellStart"/>
            <w:r>
              <w:rPr>
                <w:rFonts w:eastAsia="Times New Roman" w:cstheme="minorHAnsi"/>
                <w:b/>
                <w:bCs/>
                <w:color w:val="000000"/>
                <w:sz w:val="20"/>
                <w:szCs w:val="20"/>
                <w:lang w:eastAsia="it-IT"/>
              </w:rPr>
              <w:t>number</w:t>
            </w:r>
            <w:proofErr w:type="spellEnd"/>
          </w:p>
        </w:tc>
        <w:tc>
          <w:tcPr>
            <w:tcW w:w="641" w:type="dxa"/>
            <w:vAlign w:val="center"/>
          </w:tcPr>
          <w:p w14:paraId="75250B88" w14:textId="77777777" w:rsidR="00E0319A" w:rsidRPr="002C5F4C" w:rsidRDefault="00E0319A" w:rsidP="00E0158D">
            <w:pPr>
              <w:spacing w:after="0" w:line="240" w:lineRule="auto"/>
              <w:rPr>
                <w:rFonts w:eastAsia="Times New Roman" w:cstheme="minorHAnsi"/>
                <w:b/>
                <w:bCs/>
                <w:color w:val="000000"/>
                <w:sz w:val="20"/>
                <w:szCs w:val="20"/>
                <w:lang w:val="en-US" w:eastAsia="it-IT"/>
              </w:rPr>
            </w:pPr>
            <w:r>
              <w:rPr>
                <w:rFonts w:eastAsia="Times New Roman" w:cstheme="minorHAnsi"/>
                <w:b/>
                <w:bCs/>
                <w:color w:val="000000"/>
                <w:sz w:val="20"/>
                <w:szCs w:val="20"/>
                <w:lang w:eastAsia="it-IT"/>
              </w:rPr>
              <w:t>Phase</w:t>
            </w:r>
          </w:p>
        </w:tc>
        <w:tc>
          <w:tcPr>
            <w:tcW w:w="1701" w:type="dxa"/>
            <w:shd w:val="clear" w:color="auto" w:fill="auto"/>
            <w:noWrap/>
            <w:vAlign w:val="center"/>
            <w:hideMark/>
          </w:tcPr>
          <w:p w14:paraId="2938688D" w14:textId="77777777" w:rsidR="00E0319A" w:rsidRPr="00E0319A" w:rsidRDefault="00E0319A" w:rsidP="00E0158D">
            <w:pPr>
              <w:spacing w:after="0" w:line="240" w:lineRule="auto"/>
              <w:rPr>
                <w:rFonts w:eastAsia="Times New Roman" w:cstheme="minorHAnsi"/>
                <w:b/>
                <w:bCs/>
                <w:color w:val="000000"/>
                <w:sz w:val="20"/>
                <w:szCs w:val="20"/>
                <w:lang w:val="en-US" w:eastAsia="it-IT"/>
              </w:rPr>
            </w:pPr>
            <w:r w:rsidRPr="002C5F4C">
              <w:rPr>
                <w:rFonts w:eastAsia="Times New Roman" w:cstheme="minorHAnsi"/>
                <w:b/>
                <w:bCs/>
                <w:color w:val="000000"/>
                <w:sz w:val="20"/>
                <w:szCs w:val="20"/>
                <w:lang w:val="en-US" w:eastAsia="it-IT"/>
              </w:rPr>
              <w:t xml:space="preserve">Age of </w:t>
            </w:r>
            <w:r>
              <w:rPr>
                <w:rFonts w:eastAsia="Times New Roman" w:cstheme="minorHAnsi"/>
                <w:b/>
                <w:bCs/>
                <w:color w:val="000000"/>
                <w:sz w:val="20"/>
                <w:szCs w:val="20"/>
                <w:lang w:val="en-US" w:eastAsia="it-IT"/>
              </w:rPr>
              <w:t>s</w:t>
            </w:r>
            <w:r w:rsidRPr="002C5F4C">
              <w:rPr>
                <w:rFonts w:eastAsia="Times New Roman" w:cstheme="minorHAnsi"/>
                <w:b/>
                <w:bCs/>
                <w:color w:val="000000"/>
                <w:sz w:val="20"/>
                <w:szCs w:val="20"/>
                <w:lang w:val="en-US" w:eastAsia="it-IT"/>
              </w:rPr>
              <w:t xml:space="preserve">tudy </w:t>
            </w:r>
            <w:r>
              <w:rPr>
                <w:rFonts w:eastAsia="Times New Roman" w:cstheme="minorHAnsi"/>
                <w:b/>
                <w:bCs/>
                <w:color w:val="000000"/>
                <w:sz w:val="20"/>
                <w:szCs w:val="20"/>
                <w:lang w:val="en-US" w:eastAsia="it-IT"/>
              </w:rPr>
              <w:t>p</w:t>
            </w:r>
            <w:r w:rsidRPr="002C5F4C">
              <w:rPr>
                <w:rFonts w:eastAsia="Times New Roman" w:cstheme="minorHAnsi"/>
                <w:b/>
                <w:bCs/>
                <w:color w:val="000000"/>
                <w:sz w:val="20"/>
                <w:szCs w:val="20"/>
                <w:lang w:val="en-US" w:eastAsia="it-IT"/>
              </w:rPr>
              <w:t>opulation</w:t>
            </w:r>
            <w:r>
              <w:rPr>
                <w:rFonts w:eastAsia="Times New Roman" w:cstheme="minorHAnsi"/>
                <w:b/>
                <w:bCs/>
                <w:color w:val="000000"/>
                <w:sz w:val="20"/>
                <w:szCs w:val="20"/>
                <w:lang w:val="en-US" w:eastAsia="it-IT"/>
              </w:rPr>
              <w:t>, years</w:t>
            </w:r>
          </w:p>
        </w:tc>
        <w:tc>
          <w:tcPr>
            <w:tcW w:w="882" w:type="dxa"/>
            <w:vAlign w:val="center"/>
          </w:tcPr>
          <w:p w14:paraId="740FC4B5" w14:textId="77777777" w:rsidR="00E0319A" w:rsidRPr="001507CC" w:rsidRDefault="00E0319A" w:rsidP="00E0158D">
            <w:pPr>
              <w:spacing w:after="0" w:line="240" w:lineRule="auto"/>
              <w:rPr>
                <w:rFonts w:eastAsia="Times New Roman" w:cstheme="minorHAnsi"/>
                <w:b/>
                <w:bCs/>
                <w:color w:val="000000"/>
                <w:sz w:val="20"/>
                <w:szCs w:val="20"/>
                <w:lang w:eastAsia="it-IT"/>
              </w:rPr>
            </w:pPr>
            <w:r w:rsidRPr="002C5F4C">
              <w:rPr>
                <w:rFonts w:eastAsia="Times New Roman" w:cstheme="minorHAnsi"/>
                <w:b/>
                <w:bCs/>
                <w:color w:val="000000"/>
                <w:sz w:val="20"/>
                <w:szCs w:val="20"/>
                <w:lang w:val="en-US" w:eastAsia="it-IT"/>
              </w:rPr>
              <w:t xml:space="preserve">Enrolled </w:t>
            </w:r>
            <w:r>
              <w:rPr>
                <w:rFonts w:eastAsia="Times New Roman" w:cstheme="minorHAnsi"/>
                <w:b/>
                <w:bCs/>
                <w:color w:val="000000"/>
                <w:sz w:val="20"/>
                <w:szCs w:val="20"/>
                <w:lang w:val="en-US" w:eastAsia="it-IT"/>
              </w:rPr>
              <w:t>p</w:t>
            </w:r>
            <w:r w:rsidRPr="002C5F4C">
              <w:rPr>
                <w:rFonts w:eastAsia="Times New Roman" w:cstheme="minorHAnsi"/>
                <w:b/>
                <w:bCs/>
                <w:color w:val="000000"/>
                <w:sz w:val="20"/>
                <w:szCs w:val="20"/>
                <w:lang w:val="en-US" w:eastAsia="it-IT"/>
              </w:rPr>
              <w:t>atients</w:t>
            </w:r>
            <w:r w:rsidRPr="00E0319A">
              <w:rPr>
                <w:rFonts w:eastAsia="Times New Roman" w:cstheme="minorHAnsi"/>
                <w:b/>
                <w:bCs/>
                <w:color w:val="000000"/>
                <w:sz w:val="20"/>
                <w:szCs w:val="20"/>
                <w:vertAlign w:val="superscript"/>
                <w:lang w:val="en-US" w:eastAsia="it-IT"/>
              </w:rPr>
              <w:t>#</w:t>
            </w:r>
          </w:p>
        </w:tc>
        <w:tc>
          <w:tcPr>
            <w:tcW w:w="3402" w:type="dxa"/>
            <w:vAlign w:val="center"/>
          </w:tcPr>
          <w:p w14:paraId="1BFA4BA4" w14:textId="77777777" w:rsidR="00E0319A" w:rsidRPr="001507CC" w:rsidRDefault="00E0319A" w:rsidP="00E0158D">
            <w:pPr>
              <w:spacing w:after="0" w:line="240" w:lineRule="auto"/>
              <w:rPr>
                <w:rFonts w:eastAsia="Times New Roman" w:cstheme="minorHAnsi"/>
                <w:b/>
                <w:bCs/>
                <w:color w:val="000000"/>
                <w:sz w:val="20"/>
                <w:szCs w:val="20"/>
                <w:lang w:eastAsia="it-IT"/>
              </w:rPr>
            </w:pPr>
            <w:r w:rsidRPr="001507CC">
              <w:rPr>
                <w:rFonts w:eastAsia="Times New Roman" w:cstheme="minorHAnsi"/>
                <w:b/>
                <w:bCs/>
                <w:color w:val="000000"/>
                <w:sz w:val="20"/>
                <w:szCs w:val="20"/>
                <w:lang w:eastAsia="it-IT"/>
              </w:rPr>
              <w:t xml:space="preserve">Primary </w:t>
            </w:r>
            <w:proofErr w:type="spellStart"/>
            <w:r>
              <w:rPr>
                <w:rFonts w:eastAsia="Times New Roman" w:cstheme="minorHAnsi"/>
                <w:b/>
                <w:bCs/>
                <w:color w:val="000000"/>
                <w:sz w:val="20"/>
                <w:szCs w:val="20"/>
                <w:lang w:eastAsia="it-IT"/>
              </w:rPr>
              <w:t>o</w:t>
            </w:r>
            <w:r w:rsidRPr="001507CC">
              <w:rPr>
                <w:rFonts w:eastAsia="Times New Roman" w:cstheme="minorHAnsi"/>
                <w:b/>
                <w:bCs/>
                <w:color w:val="000000"/>
                <w:sz w:val="20"/>
                <w:szCs w:val="20"/>
                <w:lang w:eastAsia="it-IT"/>
              </w:rPr>
              <w:t>utcome</w:t>
            </w:r>
            <w:proofErr w:type="spellEnd"/>
          </w:p>
        </w:tc>
        <w:tc>
          <w:tcPr>
            <w:tcW w:w="3460" w:type="dxa"/>
            <w:vAlign w:val="center"/>
          </w:tcPr>
          <w:p w14:paraId="6C349E07" w14:textId="77777777" w:rsidR="00E0319A" w:rsidRDefault="00E0319A" w:rsidP="00E0158D">
            <w:pPr>
              <w:spacing w:after="0" w:line="240" w:lineRule="auto"/>
              <w:rPr>
                <w:rFonts w:eastAsia="Times New Roman" w:cstheme="minorHAnsi"/>
                <w:b/>
                <w:bCs/>
                <w:color w:val="000000"/>
                <w:sz w:val="20"/>
                <w:szCs w:val="20"/>
                <w:lang w:eastAsia="it-IT"/>
              </w:rPr>
            </w:pPr>
            <w:proofErr w:type="spellStart"/>
            <w:r>
              <w:rPr>
                <w:rFonts w:eastAsia="Times New Roman" w:cstheme="minorHAnsi"/>
                <w:b/>
                <w:bCs/>
                <w:color w:val="000000"/>
                <w:sz w:val="20"/>
                <w:szCs w:val="20"/>
                <w:lang w:eastAsia="it-IT"/>
              </w:rPr>
              <w:t>Results</w:t>
            </w:r>
            <w:proofErr w:type="spellEnd"/>
            <w:r>
              <w:rPr>
                <w:rFonts w:eastAsia="Times New Roman" w:cstheme="minorHAnsi"/>
                <w:b/>
                <w:bCs/>
                <w:color w:val="000000"/>
                <w:sz w:val="20"/>
                <w:szCs w:val="20"/>
                <w:lang w:eastAsia="it-IT"/>
              </w:rPr>
              <w:t>*</w:t>
            </w:r>
          </w:p>
        </w:tc>
        <w:tc>
          <w:tcPr>
            <w:tcW w:w="1134" w:type="dxa"/>
            <w:tcBorders>
              <w:right w:val="single" w:sz="4" w:space="0" w:color="000000"/>
            </w:tcBorders>
            <w:shd w:val="clear" w:color="auto" w:fill="auto"/>
            <w:noWrap/>
            <w:vAlign w:val="center"/>
          </w:tcPr>
          <w:p w14:paraId="399F6F60" w14:textId="77777777" w:rsidR="00E0319A" w:rsidRPr="0081060E" w:rsidRDefault="00E0319A" w:rsidP="00E0158D">
            <w:pPr>
              <w:spacing w:after="0" w:line="240" w:lineRule="auto"/>
              <w:rPr>
                <w:rFonts w:eastAsia="Times New Roman" w:cstheme="minorHAnsi"/>
                <w:b/>
                <w:bCs/>
                <w:color w:val="000000"/>
                <w:sz w:val="20"/>
                <w:szCs w:val="20"/>
                <w:lang w:eastAsia="it-IT"/>
              </w:rPr>
            </w:pPr>
            <w:r>
              <w:rPr>
                <w:rFonts w:eastAsia="Times New Roman" w:cstheme="minorHAnsi"/>
                <w:b/>
                <w:bCs/>
                <w:color w:val="000000"/>
                <w:sz w:val="20"/>
                <w:szCs w:val="20"/>
                <w:lang w:eastAsia="it-IT"/>
              </w:rPr>
              <w:t>Status</w:t>
            </w:r>
          </w:p>
        </w:tc>
      </w:tr>
      <w:tr w:rsidR="00FE3BFE" w:rsidRPr="00895694" w14:paraId="1020CCB2" w14:textId="77777777" w:rsidTr="00FE3BFE">
        <w:trPr>
          <w:trHeight w:val="285"/>
        </w:trPr>
        <w:tc>
          <w:tcPr>
            <w:tcW w:w="1190" w:type="dxa"/>
            <w:vMerge w:val="restart"/>
            <w:vAlign w:val="center"/>
          </w:tcPr>
          <w:p w14:paraId="40E2CA80" w14:textId="77777777" w:rsidR="00E0319A" w:rsidRPr="0081060E" w:rsidRDefault="00E0319A" w:rsidP="00E0158D">
            <w:pPr>
              <w:spacing w:after="0" w:line="240" w:lineRule="auto"/>
              <w:rPr>
                <w:rFonts w:cstheme="minorHAnsi"/>
                <w:sz w:val="20"/>
                <w:szCs w:val="20"/>
              </w:rPr>
            </w:pPr>
            <w:proofErr w:type="spellStart"/>
            <w:r w:rsidRPr="0081060E">
              <w:rPr>
                <w:rFonts w:cstheme="minorHAnsi"/>
                <w:sz w:val="20"/>
                <w:szCs w:val="20"/>
              </w:rPr>
              <w:t>Batoclimab</w:t>
            </w:r>
            <w:proofErr w:type="spellEnd"/>
          </w:p>
        </w:tc>
        <w:tc>
          <w:tcPr>
            <w:tcW w:w="2071" w:type="dxa"/>
            <w:vMerge w:val="restart"/>
            <w:shd w:val="clear" w:color="auto" w:fill="auto"/>
            <w:noWrap/>
            <w:vAlign w:val="center"/>
          </w:tcPr>
          <w:p w14:paraId="577F6BFD" w14:textId="77777777" w:rsidR="00E0319A" w:rsidRPr="0081060E" w:rsidRDefault="00E0319A" w:rsidP="00E0158D">
            <w:pPr>
              <w:spacing w:after="0" w:line="240" w:lineRule="auto"/>
              <w:rPr>
                <w:rFonts w:cstheme="minorHAnsi"/>
                <w:sz w:val="20"/>
                <w:szCs w:val="20"/>
              </w:rPr>
            </w:pPr>
            <w:r w:rsidRPr="0056605A">
              <w:rPr>
                <w:rFonts w:cstheme="minorHAnsi"/>
                <w:sz w:val="20"/>
                <w:szCs w:val="20"/>
              </w:rPr>
              <w:t xml:space="preserve">FcRn receptor </w:t>
            </w:r>
            <w:proofErr w:type="spellStart"/>
            <w:r w:rsidRPr="0056605A">
              <w:rPr>
                <w:rFonts w:cstheme="minorHAnsi"/>
                <w:sz w:val="20"/>
                <w:szCs w:val="20"/>
              </w:rPr>
              <w:t>antagonist</w:t>
            </w:r>
            <w:proofErr w:type="spellEnd"/>
          </w:p>
        </w:tc>
        <w:tc>
          <w:tcPr>
            <w:tcW w:w="1679" w:type="dxa"/>
            <w:vAlign w:val="center"/>
          </w:tcPr>
          <w:p w14:paraId="4E5E9A6E" w14:textId="15722D6F" w:rsidR="00E0319A" w:rsidRPr="0081060E" w:rsidRDefault="00E0319A" w:rsidP="00E0158D">
            <w:pPr>
              <w:spacing w:after="0" w:line="240" w:lineRule="auto"/>
              <w:rPr>
                <w:rFonts w:cstheme="minorHAnsi"/>
                <w:color w:val="000000"/>
                <w:sz w:val="20"/>
                <w:szCs w:val="20"/>
              </w:rPr>
            </w:pPr>
            <w:bookmarkStart w:id="25" w:name="_Hlk151997915"/>
            <w:r w:rsidRPr="0081060E">
              <w:rPr>
                <w:rFonts w:cstheme="minorHAnsi"/>
                <w:color w:val="000000"/>
                <w:sz w:val="20"/>
                <w:szCs w:val="20"/>
              </w:rPr>
              <w:t>NCT05403541</w:t>
            </w:r>
            <w:bookmarkEnd w:id="25"/>
            <w:r w:rsidR="00FE3BFE">
              <w:rPr>
                <w:rFonts w:cstheme="minorHAnsi"/>
                <w:color w:val="000000"/>
                <w:sz w:val="20"/>
                <w:szCs w:val="20"/>
              </w:rPr>
              <w:t xml:space="preserve"> [116]</w:t>
            </w:r>
          </w:p>
        </w:tc>
        <w:tc>
          <w:tcPr>
            <w:tcW w:w="641" w:type="dxa"/>
            <w:vAlign w:val="center"/>
          </w:tcPr>
          <w:p w14:paraId="1E575FC8" w14:textId="77777777" w:rsidR="00E0319A" w:rsidRPr="0081060E" w:rsidRDefault="00E0319A" w:rsidP="00E0158D">
            <w:pPr>
              <w:spacing w:after="0" w:line="240" w:lineRule="auto"/>
              <w:rPr>
                <w:rFonts w:eastAsia="Times New Roman" w:cstheme="minorHAnsi"/>
                <w:color w:val="000000"/>
                <w:kern w:val="0"/>
                <w:sz w:val="20"/>
                <w:szCs w:val="20"/>
                <w:lang w:val="en-US" w:eastAsia="it-IT"/>
                <w14:ligatures w14:val="none"/>
              </w:rPr>
            </w:pPr>
            <w:r w:rsidRPr="0081060E">
              <w:rPr>
                <w:rFonts w:cstheme="minorHAnsi"/>
                <w:sz w:val="20"/>
                <w:szCs w:val="20"/>
              </w:rPr>
              <w:t>III</w:t>
            </w:r>
          </w:p>
        </w:tc>
        <w:tc>
          <w:tcPr>
            <w:tcW w:w="1701" w:type="dxa"/>
            <w:shd w:val="clear" w:color="auto" w:fill="auto"/>
            <w:noWrap/>
            <w:vAlign w:val="center"/>
          </w:tcPr>
          <w:p w14:paraId="19022BC3" w14:textId="3BA67E92" w:rsidR="00E0319A" w:rsidRPr="0081060E" w:rsidRDefault="00E0319A" w:rsidP="00E0158D">
            <w:pPr>
              <w:spacing w:after="0" w:line="240" w:lineRule="auto"/>
              <w:rPr>
                <w:rFonts w:eastAsia="Times New Roman" w:cstheme="minorHAnsi"/>
                <w:color w:val="000000"/>
                <w:kern w:val="0"/>
                <w:sz w:val="20"/>
                <w:szCs w:val="20"/>
                <w:lang w:eastAsia="it-IT"/>
                <w14:ligatures w14:val="none"/>
              </w:rPr>
            </w:pPr>
            <w:r w:rsidRPr="0081060E">
              <w:rPr>
                <w:rFonts w:eastAsia="Times New Roman" w:cstheme="minorHAnsi"/>
                <w:color w:val="000000"/>
                <w:kern w:val="0"/>
                <w:sz w:val="20"/>
                <w:szCs w:val="20"/>
                <w:lang w:val="en-US" w:eastAsia="it-IT"/>
                <w14:ligatures w14:val="none"/>
              </w:rPr>
              <w:t>≥ 18</w:t>
            </w:r>
          </w:p>
        </w:tc>
        <w:tc>
          <w:tcPr>
            <w:tcW w:w="882" w:type="dxa"/>
            <w:vAlign w:val="center"/>
          </w:tcPr>
          <w:p w14:paraId="0355A2D9" w14:textId="77777777" w:rsidR="00E0319A" w:rsidRPr="00BE54C0" w:rsidRDefault="00E0319A" w:rsidP="00E0158D">
            <w:pPr>
              <w:spacing w:after="0" w:line="240" w:lineRule="auto"/>
              <w:jc w:val="both"/>
              <w:rPr>
                <w:rFonts w:eastAsia="Times New Roman" w:cstheme="minorHAnsi"/>
                <w:color w:val="000000"/>
                <w:sz w:val="20"/>
                <w:szCs w:val="20"/>
                <w:lang w:val="en-US" w:eastAsia="it-IT"/>
              </w:rPr>
            </w:pPr>
            <w:r w:rsidRPr="0081060E">
              <w:rPr>
                <w:rFonts w:cstheme="minorHAnsi"/>
                <w:sz w:val="20"/>
                <w:szCs w:val="20"/>
              </w:rPr>
              <w:t>210</w:t>
            </w:r>
          </w:p>
        </w:tc>
        <w:tc>
          <w:tcPr>
            <w:tcW w:w="3402" w:type="dxa"/>
            <w:vAlign w:val="center"/>
          </w:tcPr>
          <w:p w14:paraId="07550B7E" w14:textId="77777777" w:rsidR="00E0319A" w:rsidRPr="00BE54C0" w:rsidRDefault="00E0319A" w:rsidP="00E0158D">
            <w:pPr>
              <w:spacing w:after="0" w:line="240" w:lineRule="auto"/>
              <w:jc w:val="both"/>
              <w:rPr>
                <w:rFonts w:eastAsia="Times New Roman" w:cstheme="minorHAnsi"/>
                <w:color w:val="000000"/>
                <w:sz w:val="20"/>
                <w:szCs w:val="20"/>
                <w:lang w:val="en-US" w:eastAsia="it-IT"/>
              </w:rPr>
            </w:pPr>
            <w:r w:rsidRPr="00BE54C0">
              <w:rPr>
                <w:rFonts w:eastAsia="Times New Roman" w:cstheme="minorHAnsi"/>
                <w:color w:val="000000"/>
                <w:sz w:val="20"/>
                <w:szCs w:val="20"/>
                <w:lang w:val="en-US" w:eastAsia="it-IT"/>
              </w:rPr>
              <w:t xml:space="preserve">Change from baseline in MG-ADL score in participants with </w:t>
            </w:r>
            <w:proofErr w:type="spellStart"/>
            <w:r w:rsidRPr="00BE54C0">
              <w:rPr>
                <w:rFonts w:eastAsia="Times New Roman" w:cstheme="minorHAnsi"/>
                <w:color w:val="000000"/>
                <w:sz w:val="20"/>
                <w:szCs w:val="20"/>
                <w:lang w:val="en-US" w:eastAsia="it-IT"/>
              </w:rPr>
              <w:t>AChR</w:t>
            </w:r>
            <w:proofErr w:type="spellEnd"/>
            <w:r w:rsidRPr="00BE54C0">
              <w:rPr>
                <w:rFonts w:eastAsia="Times New Roman" w:cstheme="minorHAnsi"/>
                <w:color w:val="000000"/>
                <w:sz w:val="20"/>
                <w:szCs w:val="20"/>
                <w:lang w:val="en-US" w:eastAsia="it-IT"/>
              </w:rPr>
              <w:t xml:space="preserve"> antibody positivity (from baseline to week 12)</w:t>
            </w:r>
          </w:p>
        </w:tc>
        <w:tc>
          <w:tcPr>
            <w:tcW w:w="3460" w:type="dxa"/>
            <w:vAlign w:val="center"/>
          </w:tcPr>
          <w:p w14:paraId="64A69E23" w14:textId="77777777" w:rsidR="00E0319A" w:rsidRPr="002B6E41" w:rsidRDefault="00E0319A" w:rsidP="00E0319A">
            <w:pPr>
              <w:spacing w:after="0" w:line="240" w:lineRule="auto"/>
              <w:rPr>
                <w:rFonts w:cstheme="minorHAnsi"/>
                <w:sz w:val="20"/>
                <w:szCs w:val="20"/>
                <w:lang w:val="en-US"/>
              </w:rPr>
            </w:pPr>
            <w:r>
              <w:rPr>
                <w:rFonts w:cstheme="minorHAnsi"/>
                <w:sz w:val="20"/>
                <w:szCs w:val="20"/>
                <w:lang w:val="en-US"/>
              </w:rPr>
              <w:t>Not available</w:t>
            </w:r>
          </w:p>
        </w:tc>
        <w:tc>
          <w:tcPr>
            <w:tcW w:w="1134" w:type="dxa"/>
            <w:shd w:val="clear" w:color="auto" w:fill="auto"/>
            <w:noWrap/>
            <w:vAlign w:val="center"/>
          </w:tcPr>
          <w:p w14:paraId="670D9BD9" w14:textId="77777777" w:rsidR="00E0319A" w:rsidRPr="0067733C" w:rsidRDefault="00E0319A" w:rsidP="00E0158D">
            <w:pPr>
              <w:spacing w:after="0" w:line="240" w:lineRule="auto"/>
              <w:jc w:val="both"/>
              <w:rPr>
                <w:rFonts w:eastAsia="Times New Roman" w:cstheme="minorHAnsi"/>
                <w:color w:val="000000"/>
                <w:sz w:val="20"/>
                <w:szCs w:val="20"/>
                <w:lang w:val="en-US" w:eastAsia="it-IT"/>
              </w:rPr>
            </w:pPr>
            <w:r>
              <w:rPr>
                <w:rFonts w:cstheme="minorHAnsi"/>
                <w:sz w:val="20"/>
                <w:szCs w:val="20"/>
              </w:rPr>
              <w:t>Recruiting</w:t>
            </w:r>
          </w:p>
        </w:tc>
      </w:tr>
      <w:tr w:rsidR="00FE3BFE" w:rsidRPr="00895694" w14:paraId="760EBAEC" w14:textId="77777777" w:rsidTr="00FE3BFE">
        <w:trPr>
          <w:trHeight w:val="285"/>
        </w:trPr>
        <w:tc>
          <w:tcPr>
            <w:tcW w:w="1190" w:type="dxa"/>
            <w:vMerge/>
            <w:vAlign w:val="center"/>
          </w:tcPr>
          <w:p w14:paraId="55597B9D" w14:textId="77777777" w:rsidR="00E0319A" w:rsidRPr="0067733C" w:rsidRDefault="00E0319A" w:rsidP="00E0158D">
            <w:pPr>
              <w:spacing w:after="0" w:line="240" w:lineRule="auto"/>
              <w:rPr>
                <w:rFonts w:cstheme="minorHAnsi"/>
                <w:sz w:val="20"/>
                <w:szCs w:val="20"/>
                <w:lang w:val="en-US"/>
              </w:rPr>
            </w:pPr>
          </w:p>
        </w:tc>
        <w:tc>
          <w:tcPr>
            <w:tcW w:w="2071" w:type="dxa"/>
            <w:vMerge/>
            <w:shd w:val="clear" w:color="auto" w:fill="auto"/>
            <w:noWrap/>
            <w:vAlign w:val="center"/>
          </w:tcPr>
          <w:p w14:paraId="64E823A7" w14:textId="77777777" w:rsidR="00E0319A" w:rsidRPr="0067733C" w:rsidRDefault="00E0319A" w:rsidP="00E0158D">
            <w:pPr>
              <w:spacing w:after="0" w:line="240" w:lineRule="auto"/>
              <w:rPr>
                <w:rFonts w:cstheme="minorHAnsi"/>
                <w:sz w:val="20"/>
                <w:szCs w:val="20"/>
                <w:lang w:val="en-US"/>
              </w:rPr>
            </w:pPr>
          </w:p>
        </w:tc>
        <w:tc>
          <w:tcPr>
            <w:tcW w:w="1679" w:type="dxa"/>
            <w:vAlign w:val="center"/>
          </w:tcPr>
          <w:p w14:paraId="38ACB3E8" w14:textId="5B613D89" w:rsidR="00E0319A" w:rsidRPr="0081060E" w:rsidRDefault="00E0319A" w:rsidP="00E0158D">
            <w:pPr>
              <w:spacing w:after="0" w:line="240" w:lineRule="auto"/>
              <w:rPr>
                <w:rFonts w:cstheme="minorHAnsi"/>
                <w:color w:val="000000"/>
                <w:sz w:val="20"/>
                <w:szCs w:val="20"/>
              </w:rPr>
            </w:pPr>
            <w:bookmarkStart w:id="26" w:name="_Hlk151997962"/>
            <w:r w:rsidRPr="0081060E">
              <w:rPr>
                <w:rFonts w:cstheme="minorHAnsi"/>
                <w:sz w:val="20"/>
                <w:szCs w:val="20"/>
              </w:rPr>
              <w:t>NCT05039190</w:t>
            </w:r>
            <w:r w:rsidR="00FE3BFE">
              <w:rPr>
                <w:rFonts w:cstheme="minorHAnsi"/>
                <w:sz w:val="20"/>
                <w:szCs w:val="20"/>
              </w:rPr>
              <w:t xml:space="preserve"> </w:t>
            </w:r>
            <w:bookmarkEnd w:id="26"/>
            <w:r w:rsidR="00FE3BFE">
              <w:rPr>
                <w:rFonts w:cstheme="minorHAnsi"/>
                <w:sz w:val="20"/>
                <w:szCs w:val="20"/>
              </w:rPr>
              <w:t>[117]</w:t>
            </w:r>
          </w:p>
        </w:tc>
        <w:tc>
          <w:tcPr>
            <w:tcW w:w="641" w:type="dxa"/>
            <w:vAlign w:val="center"/>
          </w:tcPr>
          <w:p w14:paraId="547E96E2" w14:textId="77777777" w:rsidR="00E0319A" w:rsidRDefault="00E0319A" w:rsidP="00E0158D">
            <w:pPr>
              <w:spacing w:after="0" w:line="240" w:lineRule="auto"/>
              <w:rPr>
                <w:rFonts w:eastAsia="Times New Roman" w:cstheme="minorHAnsi"/>
                <w:color w:val="000000"/>
                <w:kern w:val="0"/>
                <w:sz w:val="20"/>
                <w:szCs w:val="20"/>
                <w:lang w:val="en-US" w:eastAsia="it-IT"/>
                <w14:ligatures w14:val="none"/>
              </w:rPr>
            </w:pPr>
            <w:r>
              <w:rPr>
                <w:rFonts w:cstheme="minorHAnsi"/>
                <w:sz w:val="20"/>
                <w:szCs w:val="20"/>
              </w:rPr>
              <w:t>III</w:t>
            </w:r>
          </w:p>
        </w:tc>
        <w:tc>
          <w:tcPr>
            <w:tcW w:w="1701" w:type="dxa"/>
            <w:shd w:val="clear" w:color="auto" w:fill="auto"/>
            <w:noWrap/>
            <w:vAlign w:val="center"/>
          </w:tcPr>
          <w:p w14:paraId="176F4082" w14:textId="7D526F7E" w:rsidR="00E0319A" w:rsidRPr="0081060E" w:rsidRDefault="00E0319A" w:rsidP="00E0158D">
            <w:pPr>
              <w:spacing w:after="0" w:line="240" w:lineRule="auto"/>
              <w:rPr>
                <w:rFonts w:eastAsia="Times New Roman" w:cstheme="minorHAnsi"/>
                <w:color w:val="000000"/>
                <w:kern w:val="0"/>
                <w:sz w:val="20"/>
                <w:szCs w:val="20"/>
                <w:lang w:val="en-US" w:eastAsia="it-IT"/>
                <w14:ligatures w14:val="none"/>
              </w:rPr>
            </w:pPr>
            <w:r>
              <w:rPr>
                <w:rFonts w:eastAsia="Times New Roman" w:cstheme="minorHAnsi"/>
                <w:color w:val="000000"/>
                <w:kern w:val="0"/>
                <w:sz w:val="20"/>
                <w:szCs w:val="20"/>
                <w:lang w:val="en-US" w:eastAsia="it-IT"/>
                <w14:ligatures w14:val="none"/>
              </w:rPr>
              <w:t>18-99</w:t>
            </w:r>
          </w:p>
        </w:tc>
        <w:tc>
          <w:tcPr>
            <w:tcW w:w="882" w:type="dxa"/>
            <w:vAlign w:val="center"/>
          </w:tcPr>
          <w:p w14:paraId="220A7DFD" w14:textId="77777777" w:rsidR="00E0319A" w:rsidRPr="00BE54C0" w:rsidRDefault="00E0319A" w:rsidP="00E0158D">
            <w:pPr>
              <w:spacing w:after="0" w:line="240" w:lineRule="auto"/>
              <w:jc w:val="both"/>
              <w:rPr>
                <w:rFonts w:eastAsia="Times New Roman" w:cstheme="minorHAnsi"/>
                <w:color w:val="000000"/>
                <w:sz w:val="20"/>
                <w:szCs w:val="20"/>
                <w:lang w:val="en-US" w:eastAsia="it-IT"/>
              </w:rPr>
            </w:pPr>
            <w:r w:rsidRPr="0081060E">
              <w:rPr>
                <w:sz w:val="20"/>
                <w:szCs w:val="20"/>
              </w:rPr>
              <w:t>132</w:t>
            </w:r>
          </w:p>
        </w:tc>
        <w:tc>
          <w:tcPr>
            <w:tcW w:w="3402" w:type="dxa"/>
            <w:vAlign w:val="center"/>
          </w:tcPr>
          <w:p w14:paraId="079026AF" w14:textId="77777777" w:rsidR="00E0319A" w:rsidRPr="00BE54C0" w:rsidRDefault="00E0319A" w:rsidP="00E0158D">
            <w:pPr>
              <w:spacing w:after="0" w:line="240" w:lineRule="auto"/>
              <w:jc w:val="both"/>
              <w:rPr>
                <w:rFonts w:eastAsia="Times New Roman" w:cstheme="minorHAnsi"/>
                <w:color w:val="000000"/>
                <w:sz w:val="20"/>
                <w:szCs w:val="20"/>
                <w:lang w:val="en-US" w:eastAsia="it-IT"/>
              </w:rPr>
            </w:pPr>
            <w:r w:rsidRPr="00BE54C0">
              <w:rPr>
                <w:rFonts w:eastAsia="Times New Roman" w:cstheme="minorHAnsi"/>
                <w:color w:val="000000"/>
                <w:sz w:val="20"/>
                <w:szCs w:val="20"/>
                <w:lang w:val="en-US" w:eastAsia="it-IT"/>
              </w:rPr>
              <w:t xml:space="preserve">Percentage of patients with improvement in MG-ADL score, among patients with seropositivity to </w:t>
            </w:r>
            <w:proofErr w:type="spellStart"/>
            <w:r w:rsidRPr="00BE54C0">
              <w:rPr>
                <w:rFonts w:eastAsia="Times New Roman" w:cstheme="minorHAnsi"/>
                <w:color w:val="000000"/>
                <w:sz w:val="20"/>
                <w:szCs w:val="20"/>
                <w:lang w:val="en-US" w:eastAsia="it-IT"/>
              </w:rPr>
              <w:t>AChR</w:t>
            </w:r>
            <w:proofErr w:type="spellEnd"/>
            <w:r w:rsidRPr="00BE54C0">
              <w:rPr>
                <w:rFonts w:eastAsia="Times New Roman" w:cstheme="minorHAnsi"/>
                <w:color w:val="000000"/>
                <w:sz w:val="20"/>
                <w:szCs w:val="20"/>
                <w:lang w:val="en-US" w:eastAsia="it-IT"/>
              </w:rPr>
              <w:t xml:space="preserve"> and </w:t>
            </w:r>
            <w:proofErr w:type="spellStart"/>
            <w:r w:rsidRPr="00BE54C0">
              <w:rPr>
                <w:rFonts w:eastAsia="Times New Roman" w:cstheme="minorHAnsi"/>
                <w:color w:val="000000"/>
                <w:sz w:val="20"/>
                <w:szCs w:val="20"/>
                <w:lang w:val="en-US" w:eastAsia="it-IT"/>
              </w:rPr>
              <w:t>MuSK</w:t>
            </w:r>
            <w:proofErr w:type="spellEnd"/>
            <w:r w:rsidRPr="00BE54C0">
              <w:rPr>
                <w:rFonts w:eastAsia="Times New Roman" w:cstheme="minorHAnsi"/>
                <w:color w:val="000000"/>
                <w:sz w:val="20"/>
                <w:szCs w:val="20"/>
                <w:lang w:val="en-US" w:eastAsia="it-IT"/>
              </w:rPr>
              <w:t xml:space="preserve"> antibodies</w:t>
            </w:r>
          </w:p>
        </w:tc>
        <w:tc>
          <w:tcPr>
            <w:tcW w:w="3460" w:type="dxa"/>
            <w:vAlign w:val="center"/>
          </w:tcPr>
          <w:p w14:paraId="4028BDE6" w14:textId="77777777" w:rsidR="00E0319A" w:rsidRPr="002B6E41" w:rsidRDefault="00E0319A" w:rsidP="00E0319A">
            <w:pPr>
              <w:spacing w:after="0" w:line="240" w:lineRule="auto"/>
              <w:rPr>
                <w:rFonts w:cstheme="minorHAnsi"/>
                <w:sz w:val="20"/>
                <w:szCs w:val="20"/>
                <w:lang w:val="en-US"/>
              </w:rPr>
            </w:pPr>
            <w:r>
              <w:rPr>
                <w:rFonts w:cstheme="minorHAnsi"/>
                <w:sz w:val="20"/>
                <w:szCs w:val="20"/>
                <w:lang w:val="en-US"/>
              </w:rPr>
              <w:t>Not available</w:t>
            </w:r>
          </w:p>
        </w:tc>
        <w:tc>
          <w:tcPr>
            <w:tcW w:w="1134" w:type="dxa"/>
            <w:shd w:val="clear" w:color="auto" w:fill="auto"/>
            <w:noWrap/>
            <w:vAlign w:val="center"/>
          </w:tcPr>
          <w:p w14:paraId="7609EE7A" w14:textId="77777777" w:rsidR="00E0319A" w:rsidRPr="0067733C" w:rsidRDefault="00E0319A" w:rsidP="00E0158D">
            <w:pPr>
              <w:spacing w:after="0" w:line="240" w:lineRule="auto"/>
              <w:jc w:val="both"/>
              <w:rPr>
                <w:rFonts w:eastAsia="Times New Roman" w:cstheme="minorHAnsi"/>
                <w:color w:val="000000"/>
                <w:sz w:val="20"/>
                <w:szCs w:val="20"/>
                <w:lang w:val="en-US" w:eastAsia="it-IT"/>
              </w:rPr>
            </w:pPr>
            <w:proofErr w:type="spellStart"/>
            <w:r>
              <w:rPr>
                <w:rFonts w:cstheme="minorHAnsi"/>
                <w:sz w:val="20"/>
                <w:szCs w:val="20"/>
              </w:rPr>
              <w:t>Completed</w:t>
            </w:r>
            <w:proofErr w:type="spellEnd"/>
          </w:p>
        </w:tc>
      </w:tr>
      <w:tr w:rsidR="00FE3BFE" w:rsidRPr="00895694" w14:paraId="58CEA076" w14:textId="77777777" w:rsidTr="00FE3BFE">
        <w:trPr>
          <w:trHeight w:val="285"/>
        </w:trPr>
        <w:tc>
          <w:tcPr>
            <w:tcW w:w="1190" w:type="dxa"/>
            <w:vMerge/>
            <w:vAlign w:val="center"/>
          </w:tcPr>
          <w:p w14:paraId="2E25F2A3" w14:textId="77777777" w:rsidR="00E0319A" w:rsidRPr="0067733C" w:rsidRDefault="00E0319A" w:rsidP="00E0158D">
            <w:pPr>
              <w:spacing w:after="0" w:line="240" w:lineRule="auto"/>
              <w:rPr>
                <w:rFonts w:cstheme="minorHAnsi"/>
                <w:sz w:val="20"/>
                <w:szCs w:val="20"/>
                <w:lang w:val="en-US"/>
              </w:rPr>
            </w:pPr>
          </w:p>
        </w:tc>
        <w:tc>
          <w:tcPr>
            <w:tcW w:w="2071" w:type="dxa"/>
            <w:vMerge/>
            <w:shd w:val="clear" w:color="auto" w:fill="auto"/>
            <w:noWrap/>
            <w:vAlign w:val="center"/>
          </w:tcPr>
          <w:p w14:paraId="00DA1748" w14:textId="77777777" w:rsidR="00E0319A" w:rsidRPr="0067733C" w:rsidRDefault="00E0319A" w:rsidP="00E0158D">
            <w:pPr>
              <w:spacing w:after="0" w:line="240" w:lineRule="auto"/>
              <w:rPr>
                <w:rFonts w:cstheme="minorHAnsi"/>
                <w:sz w:val="20"/>
                <w:szCs w:val="20"/>
                <w:lang w:val="en-US"/>
              </w:rPr>
            </w:pPr>
          </w:p>
        </w:tc>
        <w:tc>
          <w:tcPr>
            <w:tcW w:w="1679" w:type="dxa"/>
            <w:vAlign w:val="center"/>
          </w:tcPr>
          <w:p w14:paraId="49BBE43F" w14:textId="5E389524" w:rsidR="00E0319A" w:rsidRPr="0081060E" w:rsidRDefault="00E0319A" w:rsidP="00E0158D">
            <w:pPr>
              <w:spacing w:after="0" w:line="240" w:lineRule="auto"/>
              <w:rPr>
                <w:rFonts w:cstheme="minorHAnsi"/>
                <w:color w:val="000000"/>
                <w:sz w:val="20"/>
                <w:szCs w:val="20"/>
              </w:rPr>
            </w:pPr>
            <w:r w:rsidRPr="0081060E">
              <w:rPr>
                <w:rFonts w:cstheme="minorHAnsi"/>
                <w:sz w:val="20"/>
                <w:szCs w:val="20"/>
              </w:rPr>
              <w:t>NCT04346888</w:t>
            </w:r>
            <w:r w:rsidR="00FE3BFE">
              <w:rPr>
                <w:rFonts w:cstheme="minorHAnsi"/>
                <w:sz w:val="20"/>
                <w:szCs w:val="20"/>
              </w:rPr>
              <w:t xml:space="preserve"> [118]</w:t>
            </w:r>
          </w:p>
        </w:tc>
        <w:tc>
          <w:tcPr>
            <w:tcW w:w="641" w:type="dxa"/>
            <w:vAlign w:val="center"/>
          </w:tcPr>
          <w:p w14:paraId="48301C7B" w14:textId="77777777" w:rsidR="00E0319A" w:rsidRDefault="00E0319A" w:rsidP="00E0158D">
            <w:pPr>
              <w:spacing w:after="0" w:line="240" w:lineRule="auto"/>
              <w:rPr>
                <w:rFonts w:eastAsia="Times New Roman" w:cstheme="minorHAnsi"/>
                <w:color w:val="000000"/>
                <w:kern w:val="0"/>
                <w:sz w:val="20"/>
                <w:szCs w:val="20"/>
                <w:lang w:val="en-US" w:eastAsia="it-IT"/>
                <w14:ligatures w14:val="none"/>
              </w:rPr>
            </w:pPr>
            <w:r>
              <w:rPr>
                <w:rFonts w:cstheme="minorHAnsi"/>
                <w:sz w:val="20"/>
                <w:szCs w:val="20"/>
              </w:rPr>
              <w:t>II</w:t>
            </w:r>
          </w:p>
        </w:tc>
        <w:tc>
          <w:tcPr>
            <w:tcW w:w="1701" w:type="dxa"/>
            <w:shd w:val="clear" w:color="auto" w:fill="auto"/>
            <w:noWrap/>
            <w:vAlign w:val="center"/>
          </w:tcPr>
          <w:p w14:paraId="78C16695" w14:textId="5E8C276A" w:rsidR="00E0319A" w:rsidRPr="0081060E" w:rsidRDefault="00E0319A" w:rsidP="00E0158D">
            <w:pPr>
              <w:spacing w:after="0" w:line="240" w:lineRule="auto"/>
              <w:rPr>
                <w:rFonts w:eastAsia="Times New Roman" w:cstheme="minorHAnsi"/>
                <w:color w:val="000000"/>
                <w:kern w:val="0"/>
                <w:sz w:val="20"/>
                <w:szCs w:val="20"/>
                <w:lang w:val="en-US" w:eastAsia="it-IT"/>
                <w14:ligatures w14:val="none"/>
              </w:rPr>
            </w:pPr>
            <w:r>
              <w:rPr>
                <w:rFonts w:eastAsia="Times New Roman" w:cstheme="minorHAnsi"/>
                <w:color w:val="000000"/>
                <w:kern w:val="0"/>
                <w:sz w:val="20"/>
                <w:szCs w:val="20"/>
                <w:lang w:val="en-US" w:eastAsia="it-IT"/>
                <w14:ligatures w14:val="none"/>
              </w:rPr>
              <w:t>18-99</w:t>
            </w:r>
          </w:p>
        </w:tc>
        <w:tc>
          <w:tcPr>
            <w:tcW w:w="882" w:type="dxa"/>
            <w:vAlign w:val="center"/>
          </w:tcPr>
          <w:p w14:paraId="2E896268" w14:textId="77777777" w:rsidR="00E0319A" w:rsidRPr="00BE54C0" w:rsidRDefault="00E0319A" w:rsidP="00E0158D">
            <w:pPr>
              <w:spacing w:after="0" w:line="240" w:lineRule="auto"/>
              <w:jc w:val="both"/>
              <w:rPr>
                <w:rFonts w:eastAsia="Times New Roman" w:cstheme="minorHAnsi"/>
                <w:color w:val="000000"/>
                <w:sz w:val="20"/>
                <w:szCs w:val="20"/>
                <w:lang w:val="en-US" w:eastAsia="it-IT"/>
              </w:rPr>
            </w:pPr>
            <w:r w:rsidRPr="0081060E">
              <w:rPr>
                <w:sz w:val="20"/>
                <w:szCs w:val="20"/>
              </w:rPr>
              <w:t>30</w:t>
            </w:r>
          </w:p>
        </w:tc>
        <w:tc>
          <w:tcPr>
            <w:tcW w:w="3402" w:type="dxa"/>
            <w:vAlign w:val="center"/>
          </w:tcPr>
          <w:p w14:paraId="6791086B" w14:textId="41D0E40D" w:rsidR="00E0319A" w:rsidRPr="00BE54C0" w:rsidRDefault="00E0319A" w:rsidP="00E0158D">
            <w:pPr>
              <w:spacing w:after="0" w:line="240" w:lineRule="auto"/>
              <w:jc w:val="both"/>
              <w:rPr>
                <w:rFonts w:eastAsia="Times New Roman" w:cstheme="minorHAnsi"/>
                <w:color w:val="000000"/>
                <w:sz w:val="20"/>
                <w:szCs w:val="20"/>
                <w:lang w:val="en-US" w:eastAsia="it-IT"/>
              </w:rPr>
            </w:pPr>
            <w:r>
              <w:rPr>
                <w:rFonts w:eastAsia="Times New Roman" w:cstheme="minorHAnsi"/>
                <w:color w:val="000000"/>
                <w:sz w:val="20"/>
                <w:szCs w:val="20"/>
                <w:lang w:val="en-US" w:eastAsia="it-IT"/>
              </w:rPr>
              <w:t>Mean c</w:t>
            </w:r>
            <w:r w:rsidRPr="00BE54C0">
              <w:rPr>
                <w:rFonts w:eastAsia="Times New Roman" w:cstheme="minorHAnsi"/>
                <w:color w:val="000000"/>
                <w:sz w:val="20"/>
                <w:szCs w:val="20"/>
                <w:lang w:val="en-US" w:eastAsia="it-IT"/>
              </w:rPr>
              <w:t>hange in total MG-ADL score from baseline to day 43</w:t>
            </w:r>
          </w:p>
        </w:tc>
        <w:tc>
          <w:tcPr>
            <w:tcW w:w="3460" w:type="dxa"/>
            <w:vAlign w:val="center"/>
          </w:tcPr>
          <w:p w14:paraId="41FCEC81" w14:textId="77777777" w:rsidR="00E0319A" w:rsidRPr="002B6E41" w:rsidRDefault="00E0319A" w:rsidP="00E0158D">
            <w:pPr>
              <w:spacing w:after="0" w:line="240" w:lineRule="auto"/>
              <w:jc w:val="both"/>
              <w:rPr>
                <w:rFonts w:cstheme="minorHAnsi"/>
                <w:sz w:val="20"/>
                <w:szCs w:val="20"/>
                <w:lang w:val="en-US"/>
              </w:rPr>
            </w:pPr>
            <w:r>
              <w:rPr>
                <w:rFonts w:cstheme="minorHAnsi"/>
                <w:sz w:val="20"/>
                <w:szCs w:val="20"/>
                <w:lang w:val="en-US"/>
              </w:rPr>
              <w:t xml:space="preserve">Mean </w:t>
            </w:r>
            <w:r w:rsidRPr="00F74AAE">
              <w:rPr>
                <w:rFonts w:cstheme="minorHAnsi"/>
                <w:sz w:val="20"/>
                <w:szCs w:val="20"/>
                <w:lang w:val="en-US"/>
              </w:rPr>
              <w:t>MG-ADL score</w:t>
            </w:r>
            <w:r>
              <w:rPr>
                <w:rFonts w:cstheme="minorHAnsi"/>
                <w:sz w:val="20"/>
                <w:szCs w:val="20"/>
                <w:lang w:val="en-US"/>
              </w:rPr>
              <w:t xml:space="preserve"> </w:t>
            </w:r>
            <w:r w:rsidRPr="00F74AAE">
              <w:rPr>
                <w:rFonts w:cstheme="minorHAnsi"/>
                <w:sz w:val="20"/>
                <w:szCs w:val="20"/>
                <w:lang w:val="en-US"/>
              </w:rPr>
              <w:t>changes</w:t>
            </w:r>
            <w:r>
              <w:rPr>
                <w:rFonts w:cstheme="minorHAnsi"/>
                <w:sz w:val="20"/>
                <w:szCs w:val="20"/>
                <w:lang w:val="en-US"/>
              </w:rPr>
              <w:t xml:space="preserve"> (</w:t>
            </w:r>
            <w:r w:rsidRPr="00F74AAE">
              <w:rPr>
                <w:rFonts w:cstheme="minorHAnsi"/>
                <w:sz w:val="20"/>
                <w:szCs w:val="20"/>
                <w:lang w:val="en-US"/>
              </w:rPr>
              <w:t>±</w:t>
            </w:r>
            <w:r>
              <w:rPr>
                <w:rFonts w:cstheme="minorHAnsi"/>
                <w:sz w:val="20"/>
                <w:szCs w:val="20"/>
                <w:lang w:val="en-US"/>
              </w:rPr>
              <w:t xml:space="preserve"> standard error)</w:t>
            </w:r>
            <w:r w:rsidRPr="00F74AAE">
              <w:rPr>
                <w:rFonts w:cstheme="minorHAnsi"/>
                <w:sz w:val="20"/>
                <w:szCs w:val="20"/>
                <w:lang w:val="en-US"/>
              </w:rPr>
              <w:t xml:space="preserve"> from baseline to day 43 were</w:t>
            </w:r>
            <w:r>
              <w:rPr>
                <w:rFonts w:cstheme="minorHAnsi"/>
                <w:sz w:val="20"/>
                <w:szCs w:val="20"/>
                <w:lang w:val="en-US"/>
              </w:rPr>
              <w:t xml:space="preserve"> </w:t>
            </w:r>
            <w:r w:rsidRPr="00F74AAE">
              <w:rPr>
                <w:rFonts w:cstheme="minorHAnsi"/>
                <w:sz w:val="20"/>
                <w:szCs w:val="20"/>
                <w:lang w:val="en-US"/>
              </w:rPr>
              <w:t xml:space="preserve">-2.2 ± 0.9 in </w:t>
            </w:r>
            <w:r>
              <w:rPr>
                <w:rFonts w:cstheme="minorHAnsi"/>
                <w:sz w:val="20"/>
                <w:szCs w:val="20"/>
                <w:lang w:val="en-US"/>
              </w:rPr>
              <w:t xml:space="preserve">patients receiving </w:t>
            </w:r>
            <w:r w:rsidRPr="00F74AAE">
              <w:rPr>
                <w:rFonts w:cstheme="minorHAnsi"/>
                <w:sz w:val="20"/>
                <w:szCs w:val="20"/>
                <w:lang w:val="en-US"/>
              </w:rPr>
              <w:t>placebo, -4.7 ± 0.6</w:t>
            </w:r>
            <w:r>
              <w:rPr>
                <w:rFonts w:cstheme="minorHAnsi"/>
                <w:sz w:val="20"/>
                <w:szCs w:val="20"/>
                <w:lang w:val="en-US"/>
              </w:rPr>
              <w:t xml:space="preserve"> in patients receiving </w:t>
            </w:r>
            <w:proofErr w:type="spellStart"/>
            <w:r w:rsidRPr="00F74AAE">
              <w:rPr>
                <w:rFonts w:cstheme="minorHAnsi"/>
                <w:sz w:val="20"/>
                <w:szCs w:val="20"/>
                <w:lang w:val="en-US"/>
              </w:rPr>
              <w:t>batoclimab</w:t>
            </w:r>
            <w:proofErr w:type="spellEnd"/>
            <w:r w:rsidRPr="00F74AAE">
              <w:rPr>
                <w:rFonts w:cstheme="minorHAnsi"/>
                <w:sz w:val="20"/>
                <w:szCs w:val="20"/>
                <w:lang w:val="en-US"/>
              </w:rPr>
              <w:t xml:space="preserve"> 340 mg</w:t>
            </w:r>
            <w:r>
              <w:rPr>
                <w:rFonts w:cstheme="minorHAnsi"/>
                <w:sz w:val="20"/>
                <w:szCs w:val="20"/>
                <w:lang w:val="en-US"/>
              </w:rPr>
              <w:t xml:space="preserve">, and </w:t>
            </w:r>
            <w:r w:rsidRPr="00F74AAE">
              <w:rPr>
                <w:rFonts w:cstheme="minorHAnsi"/>
                <w:sz w:val="20"/>
                <w:szCs w:val="20"/>
                <w:lang w:val="en-US"/>
              </w:rPr>
              <w:t>-4.4 ± 1.0</w:t>
            </w:r>
            <w:r>
              <w:rPr>
                <w:rFonts w:cstheme="minorHAnsi"/>
                <w:sz w:val="20"/>
                <w:szCs w:val="20"/>
                <w:lang w:val="en-US"/>
              </w:rPr>
              <w:t xml:space="preserve"> in patients receiving </w:t>
            </w:r>
            <w:proofErr w:type="spellStart"/>
            <w:r>
              <w:rPr>
                <w:rFonts w:cstheme="minorHAnsi"/>
                <w:sz w:val="20"/>
                <w:szCs w:val="20"/>
                <w:lang w:val="en-US"/>
              </w:rPr>
              <w:t>batoclimab</w:t>
            </w:r>
            <w:proofErr w:type="spellEnd"/>
            <w:r w:rsidRPr="00F74AAE">
              <w:rPr>
                <w:rFonts w:cstheme="minorHAnsi"/>
                <w:sz w:val="20"/>
                <w:szCs w:val="20"/>
                <w:lang w:val="en-US"/>
              </w:rPr>
              <w:t xml:space="preserve"> 680 mg.</w:t>
            </w:r>
          </w:p>
        </w:tc>
        <w:tc>
          <w:tcPr>
            <w:tcW w:w="1134" w:type="dxa"/>
            <w:shd w:val="clear" w:color="auto" w:fill="auto"/>
            <w:noWrap/>
            <w:vAlign w:val="center"/>
          </w:tcPr>
          <w:p w14:paraId="1F09DF77" w14:textId="77777777" w:rsidR="00E0319A" w:rsidRPr="0067733C" w:rsidRDefault="00E0319A" w:rsidP="00E0158D">
            <w:pPr>
              <w:spacing w:after="0" w:line="240" w:lineRule="auto"/>
              <w:jc w:val="both"/>
              <w:rPr>
                <w:rFonts w:eastAsia="Times New Roman" w:cstheme="minorHAnsi"/>
                <w:color w:val="000000"/>
                <w:sz w:val="20"/>
                <w:szCs w:val="20"/>
                <w:lang w:val="en-US" w:eastAsia="it-IT"/>
              </w:rPr>
            </w:pPr>
            <w:proofErr w:type="spellStart"/>
            <w:r>
              <w:rPr>
                <w:rFonts w:cstheme="minorHAnsi"/>
                <w:sz w:val="20"/>
                <w:szCs w:val="20"/>
              </w:rPr>
              <w:t>Completed</w:t>
            </w:r>
            <w:proofErr w:type="spellEnd"/>
          </w:p>
        </w:tc>
      </w:tr>
      <w:tr w:rsidR="00FE3BFE" w:rsidRPr="00895694" w14:paraId="18FEB5C7" w14:textId="77777777" w:rsidTr="00FE3BFE">
        <w:trPr>
          <w:trHeight w:val="285"/>
        </w:trPr>
        <w:tc>
          <w:tcPr>
            <w:tcW w:w="1190" w:type="dxa"/>
            <w:vMerge/>
            <w:vAlign w:val="center"/>
          </w:tcPr>
          <w:p w14:paraId="09EEAC9B" w14:textId="77777777" w:rsidR="00E0319A" w:rsidRPr="0067733C" w:rsidRDefault="00E0319A" w:rsidP="00E0158D">
            <w:pPr>
              <w:spacing w:after="0" w:line="240" w:lineRule="auto"/>
              <w:rPr>
                <w:rFonts w:cstheme="minorHAnsi"/>
                <w:sz w:val="20"/>
                <w:szCs w:val="20"/>
                <w:lang w:val="en-US"/>
              </w:rPr>
            </w:pPr>
          </w:p>
        </w:tc>
        <w:tc>
          <w:tcPr>
            <w:tcW w:w="2071" w:type="dxa"/>
            <w:vMerge/>
            <w:shd w:val="clear" w:color="auto" w:fill="auto"/>
            <w:noWrap/>
            <w:vAlign w:val="center"/>
          </w:tcPr>
          <w:p w14:paraId="246072B4" w14:textId="77777777" w:rsidR="00E0319A" w:rsidRPr="0067733C" w:rsidRDefault="00E0319A" w:rsidP="00E0158D">
            <w:pPr>
              <w:spacing w:after="0" w:line="240" w:lineRule="auto"/>
              <w:rPr>
                <w:rFonts w:cstheme="minorHAnsi"/>
                <w:sz w:val="20"/>
                <w:szCs w:val="20"/>
                <w:lang w:val="en-US"/>
              </w:rPr>
            </w:pPr>
          </w:p>
        </w:tc>
        <w:tc>
          <w:tcPr>
            <w:tcW w:w="1679" w:type="dxa"/>
            <w:vAlign w:val="center"/>
          </w:tcPr>
          <w:p w14:paraId="231D264E" w14:textId="0AE59E7F" w:rsidR="00E0319A" w:rsidRPr="0081060E" w:rsidRDefault="00E0319A" w:rsidP="00E0158D">
            <w:pPr>
              <w:spacing w:after="0" w:line="240" w:lineRule="auto"/>
              <w:rPr>
                <w:rFonts w:cstheme="minorHAnsi"/>
                <w:color w:val="000000"/>
                <w:sz w:val="20"/>
                <w:szCs w:val="20"/>
              </w:rPr>
            </w:pPr>
            <w:bookmarkStart w:id="27" w:name="_Hlk151998053"/>
            <w:r w:rsidRPr="0081060E">
              <w:rPr>
                <w:rFonts w:cstheme="minorHAnsi"/>
                <w:sz w:val="20"/>
                <w:szCs w:val="20"/>
              </w:rPr>
              <w:t>NCT05332210</w:t>
            </w:r>
            <w:bookmarkEnd w:id="27"/>
            <w:r w:rsidR="00FE3BFE">
              <w:rPr>
                <w:rFonts w:cstheme="minorHAnsi"/>
                <w:sz w:val="20"/>
                <w:szCs w:val="20"/>
              </w:rPr>
              <w:t xml:space="preserve"> [119]</w:t>
            </w:r>
          </w:p>
        </w:tc>
        <w:tc>
          <w:tcPr>
            <w:tcW w:w="641" w:type="dxa"/>
            <w:vAlign w:val="center"/>
          </w:tcPr>
          <w:p w14:paraId="305339AE" w14:textId="77777777" w:rsidR="00E0319A" w:rsidRPr="0081060E" w:rsidRDefault="00E0319A" w:rsidP="00E0158D">
            <w:pPr>
              <w:spacing w:after="0" w:line="240" w:lineRule="auto"/>
              <w:rPr>
                <w:rFonts w:eastAsia="Times New Roman" w:cstheme="minorHAnsi"/>
                <w:color w:val="000000"/>
                <w:kern w:val="0"/>
                <w:sz w:val="20"/>
                <w:szCs w:val="20"/>
                <w:lang w:val="en-US" w:eastAsia="it-IT"/>
                <w14:ligatures w14:val="none"/>
              </w:rPr>
            </w:pPr>
            <w:r>
              <w:rPr>
                <w:rFonts w:cstheme="minorHAnsi"/>
                <w:sz w:val="20"/>
                <w:szCs w:val="20"/>
              </w:rPr>
              <w:t>III</w:t>
            </w:r>
          </w:p>
        </w:tc>
        <w:tc>
          <w:tcPr>
            <w:tcW w:w="1701" w:type="dxa"/>
            <w:shd w:val="clear" w:color="auto" w:fill="auto"/>
            <w:noWrap/>
            <w:vAlign w:val="center"/>
          </w:tcPr>
          <w:p w14:paraId="03D89CA9" w14:textId="21F3B391" w:rsidR="00E0319A" w:rsidRPr="0081060E" w:rsidRDefault="00E0319A" w:rsidP="00E0158D">
            <w:pPr>
              <w:spacing w:after="0" w:line="240" w:lineRule="auto"/>
              <w:rPr>
                <w:rFonts w:eastAsia="Times New Roman" w:cstheme="minorHAnsi"/>
                <w:color w:val="000000"/>
                <w:kern w:val="0"/>
                <w:sz w:val="20"/>
                <w:szCs w:val="20"/>
                <w:lang w:val="en-US" w:eastAsia="it-IT"/>
                <w14:ligatures w14:val="none"/>
              </w:rPr>
            </w:pPr>
            <w:r w:rsidRPr="0081060E">
              <w:rPr>
                <w:rFonts w:eastAsia="Times New Roman" w:cstheme="minorHAnsi"/>
                <w:color w:val="000000"/>
                <w:kern w:val="0"/>
                <w:sz w:val="20"/>
                <w:szCs w:val="20"/>
                <w:lang w:val="en-US" w:eastAsia="it-IT"/>
                <w14:ligatures w14:val="none"/>
              </w:rPr>
              <w:t>≥ 18</w:t>
            </w:r>
          </w:p>
        </w:tc>
        <w:tc>
          <w:tcPr>
            <w:tcW w:w="882" w:type="dxa"/>
            <w:vAlign w:val="center"/>
          </w:tcPr>
          <w:p w14:paraId="27FEA7B5" w14:textId="77777777" w:rsidR="00E0319A" w:rsidRPr="00BE54C0" w:rsidRDefault="00E0319A" w:rsidP="00E0158D">
            <w:pPr>
              <w:spacing w:after="0" w:line="240" w:lineRule="auto"/>
              <w:jc w:val="both"/>
              <w:rPr>
                <w:rFonts w:eastAsia="Times New Roman" w:cstheme="minorHAnsi"/>
                <w:color w:val="000000"/>
                <w:sz w:val="20"/>
                <w:szCs w:val="20"/>
                <w:lang w:val="en-US" w:eastAsia="it-IT"/>
              </w:rPr>
            </w:pPr>
            <w:r w:rsidRPr="0081060E">
              <w:rPr>
                <w:sz w:val="20"/>
                <w:szCs w:val="20"/>
              </w:rPr>
              <w:t>144</w:t>
            </w:r>
          </w:p>
        </w:tc>
        <w:tc>
          <w:tcPr>
            <w:tcW w:w="3402" w:type="dxa"/>
            <w:vAlign w:val="center"/>
          </w:tcPr>
          <w:p w14:paraId="6F7499F3" w14:textId="77777777" w:rsidR="00E0319A" w:rsidRPr="00BE54C0" w:rsidRDefault="00E0319A" w:rsidP="00E0158D">
            <w:pPr>
              <w:spacing w:after="0" w:line="240" w:lineRule="auto"/>
              <w:jc w:val="both"/>
              <w:rPr>
                <w:rFonts w:eastAsia="Times New Roman" w:cstheme="minorHAnsi"/>
                <w:color w:val="000000"/>
                <w:sz w:val="20"/>
                <w:szCs w:val="20"/>
                <w:lang w:val="en-US" w:eastAsia="it-IT"/>
              </w:rPr>
            </w:pPr>
            <w:r w:rsidRPr="00BE54C0">
              <w:rPr>
                <w:rFonts w:eastAsia="Times New Roman" w:cstheme="minorHAnsi"/>
                <w:color w:val="000000"/>
                <w:sz w:val="20"/>
                <w:szCs w:val="20"/>
                <w:lang w:val="en-US" w:eastAsia="it-IT"/>
              </w:rPr>
              <w:t>Incidence of adverse events (follow-up: 24 weeks)</w:t>
            </w:r>
          </w:p>
        </w:tc>
        <w:tc>
          <w:tcPr>
            <w:tcW w:w="3460" w:type="dxa"/>
            <w:vAlign w:val="center"/>
          </w:tcPr>
          <w:p w14:paraId="6742FF41" w14:textId="77777777" w:rsidR="00E0319A" w:rsidRPr="002B6E41" w:rsidRDefault="00E0319A" w:rsidP="00E0319A">
            <w:pPr>
              <w:spacing w:after="0" w:line="240" w:lineRule="auto"/>
              <w:rPr>
                <w:rFonts w:cstheme="minorHAnsi"/>
                <w:sz w:val="20"/>
                <w:szCs w:val="20"/>
                <w:lang w:val="en-US"/>
              </w:rPr>
            </w:pPr>
            <w:r>
              <w:rPr>
                <w:rFonts w:cstheme="minorHAnsi"/>
                <w:sz w:val="20"/>
                <w:szCs w:val="20"/>
                <w:lang w:val="en-US"/>
              </w:rPr>
              <w:t>Not available</w:t>
            </w:r>
          </w:p>
        </w:tc>
        <w:tc>
          <w:tcPr>
            <w:tcW w:w="1134" w:type="dxa"/>
            <w:shd w:val="clear" w:color="auto" w:fill="auto"/>
            <w:noWrap/>
            <w:vAlign w:val="center"/>
          </w:tcPr>
          <w:p w14:paraId="104743BF" w14:textId="77777777" w:rsidR="00E0319A" w:rsidRPr="0067733C" w:rsidRDefault="00E0319A" w:rsidP="00E0158D">
            <w:pPr>
              <w:spacing w:after="0" w:line="240" w:lineRule="auto"/>
              <w:jc w:val="both"/>
              <w:rPr>
                <w:rFonts w:eastAsia="Times New Roman" w:cstheme="minorHAnsi"/>
                <w:color w:val="000000"/>
                <w:sz w:val="20"/>
                <w:szCs w:val="20"/>
                <w:lang w:val="en-US" w:eastAsia="it-IT"/>
              </w:rPr>
            </w:pPr>
            <w:r>
              <w:rPr>
                <w:rFonts w:cstheme="minorHAnsi"/>
                <w:sz w:val="20"/>
                <w:szCs w:val="20"/>
              </w:rPr>
              <w:t>Recruiting</w:t>
            </w:r>
          </w:p>
        </w:tc>
      </w:tr>
      <w:tr w:rsidR="00FE3BFE" w:rsidRPr="00895694" w14:paraId="0E13BCB3" w14:textId="77777777" w:rsidTr="00FE3BFE">
        <w:trPr>
          <w:trHeight w:val="285"/>
        </w:trPr>
        <w:tc>
          <w:tcPr>
            <w:tcW w:w="1190" w:type="dxa"/>
            <w:vAlign w:val="center"/>
          </w:tcPr>
          <w:p w14:paraId="7E906064" w14:textId="77777777" w:rsidR="00E0319A" w:rsidRPr="0081060E" w:rsidRDefault="00E0319A" w:rsidP="00E0158D">
            <w:pPr>
              <w:spacing w:after="0" w:line="240" w:lineRule="auto"/>
              <w:rPr>
                <w:rFonts w:cstheme="minorHAnsi"/>
                <w:sz w:val="20"/>
                <w:szCs w:val="20"/>
              </w:rPr>
            </w:pPr>
            <w:proofErr w:type="spellStart"/>
            <w:r w:rsidRPr="0081060E">
              <w:rPr>
                <w:rFonts w:cstheme="minorHAnsi"/>
                <w:sz w:val="20"/>
                <w:szCs w:val="20"/>
              </w:rPr>
              <w:t>Gefurulimab</w:t>
            </w:r>
            <w:proofErr w:type="spellEnd"/>
          </w:p>
        </w:tc>
        <w:tc>
          <w:tcPr>
            <w:tcW w:w="2071" w:type="dxa"/>
            <w:shd w:val="clear" w:color="auto" w:fill="auto"/>
            <w:noWrap/>
            <w:vAlign w:val="center"/>
          </w:tcPr>
          <w:p w14:paraId="03CED903" w14:textId="77777777" w:rsidR="00E0319A" w:rsidRPr="0056605A" w:rsidRDefault="00E0319A" w:rsidP="00E0158D">
            <w:pPr>
              <w:spacing w:after="0" w:line="240" w:lineRule="auto"/>
              <w:rPr>
                <w:rFonts w:cstheme="minorHAnsi"/>
                <w:sz w:val="20"/>
                <w:szCs w:val="20"/>
                <w:lang w:val="en-US"/>
              </w:rPr>
            </w:pPr>
            <w:r w:rsidRPr="0056605A">
              <w:rPr>
                <w:rFonts w:cstheme="minorHAnsi"/>
                <w:sz w:val="20"/>
                <w:szCs w:val="20"/>
                <w:lang w:val="en-US"/>
              </w:rPr>
              <w:t>Monoclonal antibody inhibitor of complement protein C5</w:t>
            </w:r>
          </w:p>
        </w:tc>
        <w:tc>
          <w:tcPr>
            <w:tcW w:w="1679" w:type="dxa"/>
            <w:vAlign w:val="center"/>
          </w:tcPr>
          <w:p w14:paraId="31680528" w14:textId="1513B8D0" w:rsidR="00E0319A" w:rsidRPr="0081060E" w:rsidRDefault="00E0319A" w:rsidP="00E0158D">
            <w:pPr>
              <w:spacing w:after="0" w:line="240" w:lineRule="auto"/>
              <w:rPr>
                <w:rFonts w:cstheme="minorHAnsi"/>
                <w:color w:val="000000"/>
                <w:sz w:val="20"/>
                <w:szCs w:val="20"/>
              </w:rPr>
            </w:pPr>
            <w:bookmarkStart w:id="28" w:name="_Hlk151998089"/>
            <w:r w:rsidRPr="0081060E">
              <w:rPr>
                <w:rFonts w:cstheme="minorHAnsi"/>
                <w:color w:val="000000"/>
                <w:sz w:val="20"/>
                <w:szCs w:val="20"/>
              </w:rPr>
              <w:t>NCT05556096</w:t>
            </w:r>
            <w:r w:rsidR="00FE3BFE">
              <w:rPr>
                <w:rFonts w:cstheme="minorHAnsi"/>
                <w:color w:val="000000"/>
                <w:sz w:val="20"/>
                <w:szCs w:val="20"/>
              </w:rPr>
              <w:t xml:space="preserve"> </w:t>
            </w:r>
            <w:bookmarkEnd w:id="28"/>
            <w:r w:rsidR="00FE3BFE">
              <w:rPr>
                <w:rFonts w:cstheme="minorHAnsi"/>
                <w:color w:val="000000"/>
                <w:sz w:val="20"/>
                <w:szCs w:val="20"/>
              </w:rPr>
              <w:t>[120]</w:t>
            </w:r>
          </w:p>
        </w:tc>
        <w:tc>
          <w:tcPr>
            <w:tcW w:w="641" w:type="dxa"/>
            <w:vAlign w:val="center"/>
          </w:tcPr>
          <w:p w14:paraId="7E9AAACA" w14:textId="77777777" w:rsidR="00E0319A" w:rsidRPr="0081060E" w:rsidRDefault="00E0319A" w:rsidP="00E0158D">
            <w:pPr>
              <w:spacing w:after="0" w:line="240" w:lineRule="auto"/>
              <w:rPr>
                <w:rFonts w:eastAsia="Times New Roman" w:cstheme="minorHAnsi"/>
                <w:color w:val="000000"/>
                <w:kern w:val="0"/>
                <w:sz w:val="20"/>
                <w:szCs w:val="20"/>
                <w:lang w:val="en-US" w:eastAsia="it-IT"/>
                <w14:ligatures w14:val="none"/>
              </w:rPr>
            </w:pPr>
            <w:r w:rsidRPr="0081060E">
              <w:rPr>
                <w:rFonts w:cstheme="minorHAnsi"/>
                <w:sz w:val="20"/>
                <w:szCs w:val="20"/>
              </w:rPr>
              <w:t>III</w:t>
            </w:r>
          </w:p>
        </w:tc>
        <w:tc>
          <w:tcPr>
            <w:tcW w:w="1701" w:type="dxa"/>
            <w:shd w:val="clear" w:color="auto" w:fill="auto"/>
            <w:noWrap/>
            <w:vAlign w:val="center"/>
          </w:tcPr>
          <w:p w14:paraId="0E9710BB" w14:textId="34F0F920" w:rsidR="00E0319A" w:rsidRPr="0081060E" w:rsidRDefault="00E0319A" w:rsidP="00E0158D">
            <w:pPr>
              <w:spacing w:after="0" w:line="240" w:lineRule="auto"/>
              <w:rPr>
                <w:rFonts w:eastAsia="Times New Roman" w:cstheme="minorHAnsi"/>
                <w:color w:val="000000"/>
                <w:kern w:val="0"/>
                <w:sz w:val="20"/>
                <w:szCs w:val="20"/>
                <w:lang w:eastAsia="it-IT"/>
                <w14:ligatures w14:val="none"/>
              </w:rPr>
            </w:pPr>
            <w:r w:rsidRPr="0081060E">
              <w:rPr>
                <w:rFonts w:eastAsia="Times New Roman" w:cstheme="minorHAnsi"/>
                <w:color w:val="000000"/>
                <w:kern w:val="0"/>
                <w:sz w:val="20"/>
                <w:szCs w:val="20"/>
                <w:lang w:val="en-US" w:eastAsia="it-IT"/>
                <w14:ligatures w14:val="none"/>
              </w:rPr>
              <w:t>≥ 18</w:t>
            </w:r>
          </w:p>
        </w:tc>
        <w:tc>
          <w:tcPr>
            <w:tcW w:w="882" w:type="dxa"/>
            <w:vAlign w:val="center"/>
          </w:tcPr>
          <w:p w14:paraId="54698776" w14:textId="77777777" w:rsidR="00E0319A" w:rsidRPr="00BE54C0" w:rsidRDefault="00E0319A" w:rsidP="00E0158D">
            <w:pPr>
              <w:spacing w:after="0" w:line="240" w:lineRule="auto"/>
              <w:jc w:val="both"/>
              <w:rPr>
                <w:rFonts w:eastAsia="Times New Roman" w:cstheme="minorHAnsi"/>
                <w:color w:val="000000"/>
                <w:sz w:val="20"/>
                <w:szCs w:val="20"/>
                <w:lang w:val="en-US" w:eastAsia="it-IT"/>
              </w:rPr>
            </w:pPr>
            <w:r w:rsidRPr="0081060E">
              <w:rPr>
                <w:rFonts w:cstheme="minorHAnsi"/>
                <w:sz w:val="20"/>
                <w:szCs w:val="20"/>
              </w:rPr>
              <w:t>254</w:t>
            </w:r>
          </w:p>
        </w:tc>
        <w:tc>
          <w:tcPr>
            <w:tcW w:w="3402" w:type="dxa"/>
            <w:vAlign w:val="center"/>
          </w:tcPr>
          <w:p w14:paraId="6F7E962D" w14:textId="77777777" w:rsidR="00E0319A" w:rsidRPr="00BE54C0" w:rsidRDefault="00E0319A" w:rsidP="00E0158D">
            <w:pPr>
              <w:spacing w:after="0" w:line="240" w:lineRule="auto"/>
              <w:jc w:val="both"/>
              <w:rPr>
                <w:rFonts w:eastAsia="Times New Roman" w:cstheme="minorHAnsi"/>
                <w:color w:val="000000"/>
                <w:sz w:val="20"/>
                <w:szCs w:val="20"/>
                <w:lang w:val="en-US" w:eastAsia="it-IT"/>
              </w:rPr>
            </w:pPr>
            <w:r w:rsidRPr="00BE54C0">
              <w:rPr>
                <w:rFonts w:eastAsia="Times New Roman" w:cstheme="minorHAnsi"/>
                <w:color w:val="000000"/>
                <w:sz w:val="20"/>
                <w:szCs w:val="20"/>
                <w:lang w:val="en-US" w:eastAsia="it-IT"/>
              </w:rPr>
              <w:t>Change in total score of the MG-ADL scale from baseline to week 26</w:t>
            </w:r>
          </w:p>
        </w:tc>
        <w:tc>
          <w:tcPr>
            <w:tcW w:w="3460" w:type="dxa"/>
            <w:vAlign w:val="center"/>
          </w:tcPr>
          <w:p w14:paraId="66543428" w14:textId="77777777" w:rsidR="00E0319A" w:rsidRPr="002B6E41" w:rsidRDefault="00E0319A" w:rsidP="00E0319A">
            <w:pPr>
              <w:spacing w:after="0" w:line="240" w:lineRule="auto"/>
              <w:rPr>
                <w:rFonts w:cstheme="minorHAnsi"/>
                <w:sz w:val="20"/>
                <w:szCs w:val="20"/>
                <w:lang w:val="en-US"/>
              </w:rPr>
            </w:pPr>
            <w:r>
              <w:rPr>
                <w:rFonts w:cstheme="minorHAnsi"/>
                <w:sz w:val="20"/>
                <w:szCs w:val="20"/>
                <w:lang w:val="en-US"/>
              </w:rPr>
              <w:t>Not available</w:t>
            </w:r>
          </w:p>
        </w:tc>
        <w:tc>
          <w:tcPr>
            <w:tcW w:w="1134" w:type="dxa"/>
            <w:shd w:val="clear" w:color="auto" w:fill="auto"/>
            <w:noWrap/>
            <w:vAlign w:val="center"/>
          </w:tcPr>
          <w:p w14:paraId="4761CD74" w14:textId="77777777" w:rsidR="00E0319A" w:rsidRPr="0067733C" w:rsidRDefault="00E0319A" w:rsidP="00E0158D">
            <w:pPr>
              <w:spacing w:after="0" w:line="240" w:lineRule="auto"/>
              <w:jc w:val="both"/>
              <w:rPr>
                <w:rFonts w:eastAsia="Times New Roman" w:cstheme="minorHAnsi"/>
                <w:color w:val="000000"/>
                <w:sz w:val="20"/>
                <w:szCs w:val="20"/>
                <w:lang w:val="en-US" w:eastAsia="it-IT"/>
              </w:rPr>
            </w:pPr>
            <w:r>
              <w:rPr>
                <w:rFonts w:cstheme="minorHAnsi"/>
                <w:sz w:val="20"/>
                <w:szCs w:val="20"/>
              </w:rPr>
              <w:t>Recruiting</w:t>
            </w:r>
          </w:p>
        </w:tc>
      </w:tr>
      <w:tr w:rsidR="00FE3BFE" w:rsidRPr="00895694" w14:paraId="7F395628" w14:textId="77777777" w:rsidTr="00FE3BFE">
        <w:trPr>
          <w:trHeight w:val="285"/>
        </w:trPr>
        <w:tc>
          <w:tcPr>
            <w:tcW w:w="1190" w:type="dxa"/>
            <w:vAlign w:val="center"/>
          </w:tcPr>
          <w:p w14:paraId="263AE589" w14:textId="77777777" w:rsidR="00E0319A" w:rsidRPr="0081060E" w:rsidRDefault="00E0319A" w:rsidP="00E0158D">
            <w:pPr>
              <w:spacing w:after="0" w:line="240" w:lineRule="auto"/>
              <w:rPr>
                <w:rFonts w:cstheme="minorHAnsi"/>
                <w:sz w:val="20"/>
                <w:szCs w:val="20"/>
              </w:rPr>
            </w:pPr>
            <w:proofErr w:type="spellStart"/>
            <w:r w:rsidRPr="0081060E">
              <w:rPr>
                <w:rFonts w:cstheme="minorHAnsi"/>
                <w:sz w:val="20"/>
                <w:szCs w:val="20"/>
              </w:rPr>
              <w:t>Inebilizumab</w:t>
            </w:r>
            <w:proofErr w:type="spellEnd"/>
          </w:p>
        </w:tc>
        <w:tc>
          <w:tcPr>
            <w:tcW w:w="2071" w:type="dxa"/>
            <w:shd w:val="clear" w:color="auto" w:fill="auto"/>
            <w:noWrap/>
            <w:vAlign w:val="center"/>
          </w:tcPr>
          <w:p w14:paraId="3C848FB0" w14:textId="77777777" w:rsidR="00E0319A" w:rsidRPr="0081060E" w:rsidRDefault="00E0319A" w:rsidP="00E0158D">
            <w:pPr>
              <w:spacing w:after="0" w:line="240" w:lineRule="auto"/>
              <w:rPr>
                <w:rFonts w:cstheme="minorHAnsi"/>
                <w:sz w:val="20"/>
                <w:szCs w:val="20"/>
              </w:rPr>
            </w:pPr>
            <w:proofErr w:type="spellStart"/>
            <w:r w:rsidRPr="0056605A">
              <w:rPr>
                <w:rFonts w:cstheme="minorHAnsi"/>
                <w:sz w:val="20"/>
                <w:szCs w:val="20"/>
              </w:rPr>
              <w:t>Monoclonal</w:t>
            </w:r>
            <w:proofErr w:type="spellEnd"/>
            <w:r w:rsidRPr="0056605A">
              <w:rPr>
                <w:rFonts w:cstheme="minorHAnsi"/>
                <w:sz w:val="20"/>
                <w:szCs w:val="20"/>
              </w:rPr>
              <w:t xml:space="preserve"> </w:t>
            </w:r>
            <w:proofErr w:type="spellStart"/>
            <w:r w:rsidRPr="0056605A">
              <w:rPr>
                <w:rFonts w:cstheme="minorHAnsi"/>
                <w:sz w:val="20"/>
                <w:szCs w:val="20"/>
              </w:rPr>
              <w:t>antibody</w:t>
            </w:r>
            <w:proofErr w:type="spellEnd"/>
            <w:r w:rsidRPr="0056605A">
              <w:rPr>
                <w:rFonts w:cstheme="minorHAnsi"/>
                <w:sz w:val="20"/>
                <w:szCs w:val="20"/>
              </w:rPr>
              <w:t xml:space="preserve"> anti-CD19</w:t>
            </w:r>
          </w:p>
        </w:tc>
        <w:tc>
          <w:tcPr>
            <w:tcW w:w="1679" w:type="dxa"/>
            <w:vAlign w:val="center"/>
          </w:tcPr>
          <w:p w14:paraId="44892163" w14:textId="2A28DD9B" w:rsidR="00E0319A" w:rsidRPr="0081060E" w:rsidRDefault="00E0319A" w:rsidP="00E0158D">
            <w:pPr>
              <w:spacing w:after="0" w:line="240" w:lineRule="auto"/>
              <w:rPr>
                <w:rFonts w:cstheme="minorHAnsi"/>
                <w:color w:val="000000"/>
                <w:sz w:val="20"/>
                <w:szCs w:val="20"/>
              </w:rPr>
            </w:pPr>
            <w:bookmarkStart w:id="29" w:name="_Hlk151998126"/>
            <w:r w:rsidRPr="0081060E">
              <w:rPr>
                <w:rFonts w:cstheme="minorHAnsi"/>
                <w:color w:val="000000"/>
                <w:sz w:val="20"/>
                <w:szCs w:val="20"/>
              </w:rPr>
              <w:t>NCT04524273</w:t>
            </w:r>
            <w:r w:rsidR="00FE3BFE">
              <w:rPr>
                <w:rFonts w:cstheme="minorHAnsi"/>
                <w:color w:val="000000"/>
                <w:sz w:val="20"/>
                <w:szCs w:val="20"/>
              </w:rPr>
              <w:t xml:space="preserve"> </w:t>
            </w:r>
            <w:bookmarkEnd w:id="29"/>
            <w:r w:rsidR="00FE3BFE">
              <w:rPr>
                <w:rFonts w:cstheme="minorHAnsi"/>
                <w:color w:val="000000"/>
                <w:sz w:val="20"/>
                <w:szCs w:val="20"/>
              </w:rPr>
              <w:t>[</w:t>
            </w:r>
            <w:r w:rsidR="00ED37F9">
              <w:rPr>
                <w:rFonts w:cstheme="minorHAnsi"/>
                <w:color w:val="000000"/>
                <w:sz w:val="20"/>
                <w:szCs w:val="20"/>
              </w:rPr>
              <w:t>79</w:t>
            </w:r>
            <w:r w:rsidR="00FE3BFE">
              <w:rPr>
                <w:rFonts w:cstheme="minorHAnsi"/>
                <w:color w:val="000000"/>
                <w:sz w:val="20"/>
                <w:szCs w:val="20"/>
              </w:rPr>
              <w:t>]</w:t>
            </w:r>
          </w:p>
        </w:tc>
        <w:tc>
          <w:tcPr>
            <w:tcW w:w="641" w:type="dxa"/>
            <w:vAlign w:val="center"/>
          </w:tcPr>
          <w:p w14:paraId="5BD2B39F" w14:textId="77777777" w:rsidR="00E0319A" w:rsidRPr="0081060E" w:rsidRDefault="00E0319A" w:rsidP="00E0158D">
            <w:pPr>
              <w:spacing w:after="0" w:line="240" w:lineRule="auto"/>
              <w:rPr>
                <w:rFonts w:eastAsia="Times New Roman" w:cstheme="minorHAnsi"/>
                <w:color w:val="000000"/>
                <w:kern w:val="0"/>
                <w:sz w:val="20"/>
                <w:szCs w:val="20"/>
                <w:lang w:val="en-US" w:eastAsia="it-IT"/>
                <w14:ligatures w14:val="none"/>
              </w:rPr>
            </w:pPr>
            <w:r w:rsidRPr="0081060E">
              <w:rPr>
                <w:rFonts w:cstheme="minorHAnsi"/>
                <w:sz w:val="20"/>
                <w:szCs w:val="20"/>
              </w:rPr>
              <w:t>III</w:t>
            </w:r>
          </w:p>
        </w:tc>
        <w:tc>
          <w:tcPr>
            <w:tcW w:w="1701" w:type="dxa"/>
            <w:shd w:val="clear" w:color="auto" w:fill="auto"/>
            <w:noWrap/>
            <w:vAlign w:val="center"/>
          </w:tcPr>
          <w:p w14:paraId="3D41C0BD" w14:textId="4ADDE924" w:rsidR="00E0319A" w:rsidRPr="0081060E" w:rsidRDefault="00E0319A" w:rsidP="00E0158D">
            <w:pPr>
              <w:spacing w:after="0" w:line="240" w:lineRule="auto"/>
              <w:rPr>
                <w:rFonts w:eastAsia="Times New Roman" w:cstheme="minorHAnsi"/>
                <w:color w:val="000000"/>
                <w:kern w:val="0"/>
                <w:sz w:val="20"/>
                <w:szCs w:val="20"/>
                <w:lang w:eastAsia="it-IT"/>
                <w14:ligatures w14:val="none"/>
              </w:rPr>
            </w:pPr>
            <w:r w:rsidRPr="0081060E">
              <w:rPr>
                <w:rFonts w:eastAsia="Times New Roman" w:cstheme="minorHAnsi"/>
                <w:color w:val="000000"/>
                <w:kern w:val="0"/>
                <w:sz w:val="20"/>
                <w:szCs w:val="20"/>
                <w:lang w:val="en-US" w:eastAsia="it-IT"/>
                <w14:ligatures w14:val="none"/>
              </w:rPr>
              <w:t>≥ 18</w:t>
            </w:r>
          </w:p>
        </w:tc>
        <w:tc>
          <w:tcPr>
            <w:tcW w:w="882" w:type="dxa"/>
            <w:vAlign w:val="center"/>
          </w:tcPr>
          <w:p w14:paraId="1E8BF4AB" w14:textId="77777777" w:rsidR="00E0319A" w:rsidRPr="00BE54C0" w:rsidRDefault="00E0319A" w:rsidP="00E0158D">
            <w:pPr>
              <w:spacing w:after="0" w:line="240" w:lineRule="auto"/>
              <w:jc w:val="both"/>
              <w:rPr>
                <w:rFonts w:eastAsia="Times New Roman" w:cstheme="minorHAnsi"/>
                <w:color w:val="000000"/>
                <w:sz w:val="20"/>
                <w:szCs w:val="20"/>
                <w:lang w:val="en-US" w:eastAsia="it-IT"/>
              </w:rPr>
            </w:pPr>
            <w:r w:rsidRPr="0081060E">
              <w:rPr>
                <w:rFonts w:cstheme="minorHAnsi"/>
                <w:sz w:val="20"/>
                <w:szCs w:val="20"/>
              </w:rPr>
              <w:t>270</w:t>
            </w:r>
          </w:p>
        </w:tc>
        <w:tc>
          <w:tcPr>
            <w:tcW w:w="3402" w:type="dxa"/>
            <w:vAlign w:val="center"/>
          </w:tcPr>
          <w:p w14:paraId="7A360E12" w14:textId="77777777" w:rsidR="00E0319A" w:rsidRPr="00BE54C0" w:rsidRDefault="00E0319A" w:rsidP="00E0158D">
            <w:pPr>
              <w:spacing w:after="0" w:line="240" w:lineRule="auto"/>
              <w:jc w:val="both"/>
              <w:rPr>
                <w:rFonts w:eastAsia="Times New Roman" w:cstheme="minorHAnsi"/>
                <w:color w:val="000000"/>
                <w:sz w:val="20"/>
                <w:szCs w:val="20"/>
                <w:lang w:val="en-US" w:eastAsia="it-IT"/>
              </w:rPr>
            </w:pPr>
            <w:r w:rsidRPr="00BE54C0">
              <w:rPr>
                <w:rFonts w:eastAsia="Times New Roman" w:cstheme="minorHAnsi"/>
                <w:color w:val="000000"/>
                <w:sz w:val="20"/>
                <w:szCs w:val="20"/>
                <w:lang w:val="en-US" w:eastAsia="it-IT"/>
              </w:rPr>
              <w:t xml:space="preserve">Change from baseline in MG-ADL scale score in participants with </w:t>
            </w:r>
            <w:proofErr w:type="spellStart"/>
            <w:r w:rsidRPr="00BE54C0">
              <w:rPr>
                <w:rFonts w:eastAsia="Times New Roman" w:cstheme="minorHAnsi"/>
                <w:color w:val="000000"/>
                <w:sz w:val="20"/>
                <w:szCs w:val="20"/>
                <w:lang w:val="en-US" w:eastAsia="it-IT"/>
              </w:rPr>
              <w:t>AChR</w:t>
            </w:r>
            <w:proofErr w:type="spellEnd"/>
            <w:r w:rsidRPr="00BE54C0">
              <w:rPr>
                <w:rFonts w:eastAsia="Times New Roman" w:cstheme="minorHAnsi"/>
                <w:color w:val="000000"/>
                <w:sz w:val="20"/>
                <w:szCs w:val="20"/>
                <w:lang w:val="en-US" w:eastAsia="it-IT"/>
              </w:rPr>
              <w:t xml:space="preserve"> antibody positivity (from baseline to week 52) and </w:t>
            </w:r>
            <w:proofErr w:type="spellStart"/>
            <w:r w:rsidRPr="00BE54C0">
              <w:rPr>
                <w:rFonts w:eastAsia="Times New Roman" w:cstheme="minorHAnsi"/>
                <w:color w:val="000000"/>
                <w:sz w:val="20"/>
                <w:szCs w:val="20"/>
                <w:lang w:val="en-US" w:eastAsia="it-IT"/>
              </w:rPr>
              <w:t>MuSK</w:t>
            </w:r>
            <w:proofErr w:type="spellEnd"/>
            <w:r w:rsidRPr="00BE54C0">
              <w:rPr>
                <w:rFonts w:eastAsia="Times New Roman" w:cstheme="minorHAnsi"/>
                <w:color w:val="000000"/>
                <w:sz w:val="20"/>
                <w:szCs w:val="20"/>
                <w:lang w:val="en-US" w:eastAsia="it-IT"/>
              </w:rPr>
              <w:t xml:space="preserve"> antibody positivity (from baseline to week 26)</w:t>
            </w:r>
          </w:p>
        </w:tc>
        <w:tc>
          <w:tcPr>
            <w:tcW w:w="3460" w:type="dxa"/>
            <w:vAlign w:val="center"/>
          </w:tcPr>
          <w:p w14:paraId="06C6D376" w14:textId="77777777" w:rsidR="00E0319A" w:rsidRPr="002B6E41" w:rsidRDefault="00E0319A" w:rsidP="00E0319A">
            <w:pPr>
              <w:spacing w:after="0" w:line="240" w:lineRule="auto"/>
              <w:rPr>
                <w:rFonts w:cstheme="minorHAnsi"/>
                <w:sz w:val="20"/>
                <w:szCs w:val="20"/>
                <w:lang w:val="en-US"/>
              </w:rPr>
            </w:pPr>
            <w:r>
              <w:rPr>
                <w:rFonts w:cstheme="minorHAnsi"/>
                <w:sz w:val="20"/>
                <w:szCs w:val="20"/>
                <w:lang w:val="en-US"/>
              </w:rPr>
              <w:t>Not available</w:t>
            </w:r>
          </w:p>
        </w:tc>
        <w:tc>
          <w:tcPr>
            <w:tcW w:w="1134" w:type="dxa"/>
            <w:shd w:val="clear" w:color="auto" w:fill="auto"/>
            <w:noWrap/>
            <w:vAlign w:val="center"/>
          </w:tcPr>
          <w:p w14:paraId="14AB005B" w14:textId="77777777" w:rsidR="00E0319A" w:rsidRPr="0067733C" w:rsidRDefault="00E0319A" w:rsidP="00E0158D">
            <w:pPr>
              <w:spacing w:after="0" w:line="240" w:lineRule="auto"/>
              <w:jc w:val="both"/>
              <w:rPr>
                <w:rFonts w:eastAsia="Times New Roman" w:cstheme="minorHAnsi"/>
                <w:color w:val="000000"/>
                <w:sz w:val="20"/>
                <w:szCs w:val="20"/>
                <w:lang w:val="en-US" w:eastAsia="it-IT"/>
              </w:rPr>
            </w:pPr>
            <w:r>
              <w:rPr>
                <w:rFonts w:cstheme="minorHAnsi"/>
                <w:sz w:val="20"/>
                <w:szCs w:val="20"/>
              </w:rPr>
              <w:t>Recruiting</w:t>
            </w:r>
          </w:p>
        </w:tc>
      </w:tr>
      <w:tr w:rsidR="00FE3BFE" w:rsidRPr="00895694" w14:paraId="0E92CDE4" w14:textId="77777777" w:rsidTr="00FE3BFE">
        <w:trPr>
          <w:trHeight w:val="285"/>
        </w:trPr>
        <w:tc>
          <w:tcPr>
            <w:tcW w:w="1190" w:type="dxa"/>
            <w:vMerge w:val="restart"/>
            <w:vAlign w:val="center"/>
          </w:tcPr>
          <w:p w14:paraId="55AB3816" w14:textId="77777777" w:rsidR="00E0319A" w:rsidRPr="0081060E" w:rsidRDefault="00E0319A" w:rsidP="00E0158D">
            <w:pPr>
              <w:spacing w:after="0" w:line="240" w:lineRule="auto"/>
              <w:rPr>
                <w:rFonts w:cstheme="minorHAnsi"/>
                <w:sz w:val="20"/>
                <w:szCs w:val="20"/>
              </w:rPr>
            </w:pPr>
            <w:proofErr w:type="spellStart"/>
            <w:r w:rsidRPr="0081060E">
              <w:rPr>
                <w:rFonts w:cstheme="minorHAnsi"/>
                <w:sz w:val="20"/>
                <w:szCs w:val="20"/>
              </w:rPr>
              <w:t>Nipocalimab</w:t>
            </w:r>
            <w:proofErr w:type="spellEnd"/>
          </w:p>
        </w:tc>
        <w:tc>
          <w:tcPr>
            <w:tcW w:w="2071" w:type="dxa"/>
            <w:vMerge w:val="restart"/>
            <w:shd w:val="clear" w:color="auto" w:fill="auto"/>
            <w:noWrap/>
            <w:vAlign w:val="center"/>
          </w:tcPr>
          <w:p w14:paraId="24939210" w14:textId="77777777" w:rsidR="00E0319A" w:rsidRPr="0081060E" w:rsidRDefault="00E0319A" w:rsidP="00E0158D">
            <w:pPr>
              <w:spacing w:after="0" w:line="240" w:lineRule="auto"/>
              <w:rPr>
                <w:rFonts w:cstheme="minorHAnsi"/>
                <w:sz w:val="20"/>
                <w:szCs w:val="20"/>
              </w:rPr>
            </w:pPr>
            <w:r w:rsidRPr="0056605A">
              <w:rPr>
                <w:rFonts w:cstheme="minorHAnsi"/>
                <w:sz w:val="20"/>
                <w:szCs w:val="20"/>
              </w:rPr>
              <w:t xml:space="preserve">FcRn receptor </w:t>
            </w:r>
            <w:proofErr w:type="spellStart"/>
            <w:r w:rsidRPr="0056605A">
              <w:rPr>
                <w:rFonts w:cstheme="minorHAnsi"/>
                <w:sz w:val="20"/>
                <w:szCs w:val="20"/>
              </w:rPr>
              <w:t>antagonist</w:t>
            </w:r>
            <w:proofErr w:type="spellEnd"/>
          </w:p>
        </w:tc>
        <w:tc>
          <w:tcPr>
            <w:tcW w:w="1679" w:type="dxa"/>
            <w:vAlign w:val="center"/>
          </w:tcPr>
          <w:p w14:paraId="4C574322" w14:textId="374F0C68" w:rsidR="00E0319A" w:rsidRPr="0081060E" w:rsidRDefault="00E0319A" w:rsidP="00E0158D">
            <w:pPr>
              <w:spacing w:after="0" w:line="240" w:lineRule="auto"/>
              <w:rPr>
                <w:rFonts w:cstheme="minorHAnsi"/>
                <w:color w:val="000000"/>
                <w:sz w:val="20"/>
                <w:szCs w:val="20"/>
              </w:rPr>
            </w:pPr>
            <w:bookmarkStart w:id="30" w:name="_Hlk151998275"/>
            <w:r w:rsidRPr="0081060E">
              <w:rPr>
                <w:rFonts w:cstheme="minorHAnsi"/>
                <w:color w:val="000000"/>
                <w:sz w:val="20"/>
                <w:szCs w:val="20"/>
              </w:rPr>
              <w:t>NCT05265273</w:t>
            </w:r>
            <w:bookmarkEnd w:id="30"/>
            <w:r w:rsidR="00ED37F9">
              <w:rPr>
                <w:rFonts w:cstheme="minorHAnsi"/>
                <w:color w:val="000000"/>
                <w:sz w:val="20"/>
                <w:szCs w:val="20"/>
              </w:rPr>
              <w:t xml:space="preserve"> [121]</w:t>
            </w:r>
          </w:p>
        </w:tc>
        <w:tc>
          <w:tcPr>
            <w:tcW w:w="641" w:type="dxa"/>
            <w:vAlign w:val="center"/>
          </w:tcPr>
          <w:p w14:paraId="4AB74897" w14:textId="77777777" w:rsidR="00E0319A" w:rsidRPr="0081060E" w:rsidRDefault="00E0319A" w:rsidP="00E0158D">
            <w:pPr>
              <w:spacing w:after="0" w:line="240" w:lineRule="auto"/>
              <w:rPr>
                <w:rFonts w:eastAsia="Times New Roman" w:cstheme="minorHAnsi"/>
                <w:color w:val="000000"/>
                <w:kern w:val="0"/>
                <w:sz w:val="20"/>
                <w:szCs w:val="20"/>
                <w:lang w:eastAsia="it-IT"/>
                <w14:ligatures w14:val="none"/>
              </w:rPr>
            </w:pPr>
            <w:r w:rsidRPr="0081060E">
              <w:rPr>
                <w:rFonts w:cstheme="minorHAnsi"/>
                <w:sz w:val="20"/>
                <w:szCs w:val="20"/>
              </w:rPr>
              <w:t>II/III</w:t>
            </w:r>
          </w:p>
        </w:tc>
        <w:tc>
          <w:tcPr>
            <w:tcW w:w="1701" w:type="dxa"/>
            <w:shd w:val="clear" w:color="auto" w:fill="auto"/>
            <w:noWrap/>
            <w:vAlign w:val="center"/>
          </w:tcPr>
          <w:p w14:paraId="7468AF81" w14:textId="1A98DC4C" w:rsidR="00E0319A" w:rsidRPr="0081060E" w:rsidRDefault="00E0319A" w:rsidP="00E0158D">
            <w:pPr>
              <w:spacing w:after="0" w:line="240" w:lineRule="auto"/>
              <w:rPr>
                <w:rFonts w:eastAsia="Times New Roman" w:cstheme="minorHAnsi"/>
                <w:color w:val="000000"/>
                <w:kern w:val="0"/>
                <w:sz w:val="20"/>
                <w:szCs w:val="20"/>
                <w:lang w:eastAsia="it-IT"/>
                <w14:ligatures w14:val="none"/>
              </w:rPr>
            </w:pPr>
            <w:r w:rsidRPr="0081060E">
              <w:rPr>
                <w:rFonts w:eastAsia="Times New Roman" w:cstheme="minorHAnsi"/>
                <w:color w:val="000000"/>
                <w:kern w:val="0"/>
                <w:sz w:val="20"/>
                <w:szCs w:val="20"/>
                <w:lang w:eastAsia="it-IT"/>
                <w14:ligatures w14:val="none"/>
              </w:rPr>
              <w:t>2-17</w:t>
            </w:r>
          </w:p>
        </w:tc>
        <w:tc>
          <w:tcPr>
            <w:tcW w:w="882" w:type="dxa"/>
            <w:vAlign w:val="center"/>
          </w:tcPr>
          <w:p w14:paraId="6F21E238" w14:textId="77777777" w:rsidR="00E0319A" w:rsidRPr="002D0965" w:rsidRDefault="00E0319A" w:rsidP="00E0158D">
            <w:pPr>
              <w:spacing w:after="0" w:line="240" w:lineRule="auto"/>
              <w:jc w:val="both"/>
              <w:rPr>
                <w:rFonts w:eastAsia="Times New Roman" w:cstheme="minorHAnsi"/>
                <w:color w:val="000000"/>
                <w:sz w:val="20"/>
                <w:szCs w:val="20"/>
                <w:lang w:val="en-US" w:eastAsia="it-IT"/>
              </w:rPr>
            </w:pPr>
            <w:r w:rsidRPr="0081060E">
              <w:rPr>
                <w:rFonts w:cstheme="minorHAnsi"/>
                <w:sz w:val="20"/>
                <w:szCs w:val="20"/>
              </w:rPr>
              <w:t>12</w:t>
            </w:r>
          </w:p>
        </w:tc>
        <w:tc>
          <w:tcPr>
            <w:tcW w:w="3402" w:type="dxa"/>
            <w:vAlign w:val="center"/>
          </w:tcPr>
          <w:p w14:paraId="01F07004" w14:textId="77777777" w:rsidR="00E0319A" w:rsidRPr="002D0965" w:rsidRDefault="00E0319A" w:rsidP="00E0158D">
            <w:pPr>
              <w:spacing w:after="0" w:line="240" w:lineRule="auto"/>
              <w:jc w:val="both"/>
              <w:rPr>
                <w:rFonts w:eastAsia="Times New Roman" w:cstheme="minorHAnsi"/>
                <w:color w:val="000000"/>
                <w:sz w:val="20"/>
                <w:szCs w:val="20"/>
                <w:lang w:val="en-US" w:eastAsia="it-IT"/>
              </w:rPr>
            </w:pPr>
            <w:r w:rsidRPr="002D0965">
              <w:rPr>
                <w:rFonts w:eastAsia="Times New Roman" w:cstheme="minorHAnsi"/>
                <w:color w:val="000000"/>
                <w:sz w:val="20"/>
                <w:szCs w:val="20"/>
                <w:lang w:val="en-US" w:eastAsia="it-IT"/>
              </w:rPr>
              <w:t>Change from baseline in total serum IgG levels (</w:t>
            </w:r>
            <w:r>
              <w:rPr>
                <w:rFonts w:eastAsia="Times New Roman" w:cstheme="minorHAnsi"/>
                <w:color w:val="000000"/>
                <w:sz w:val="20"/>
                <w:szCs w:val="20"/>
                <w:lang w:val="en-US" w:eastAsia="it-IT"/>
              </w:rPr>
              <w:t>expected</w:t>
            </w:r>
            <w:r w:rsidRPr="002D0965">
              <w:rPr>
                <w:rFonts w:eastAsia="Times New Roman" w:cstheme="minorHAnsi"/>
                <w:color w:val="000000"/>
                <w:sz w:val="20"/>
                <w:szCs w:val="20"/>
                <w:lang w:val="en-US" w:eastAsia="it-IT"/>
              </w:rPr>
              <w:t xml:space="preserve"> follow-up</w:t>
            </w:r>
            <w:r>
              <w:rPr>
                <w:rFonts w:eastAsia="Times New Roman" w:cstheme="minorHAnsi"/>
                <w:color w:val="000000"/>
                <w:sz w:val="20"/>
                <w:szCs w:val="20"/>
                <w:lang w:val="en-US" w:eastAsia="it-IT"/>
              </w:rPr>
              <w:t xml:space="preserve"> 3 years</w:t>
            </w:r>
            <w:r w:rsidRPr="002D0965">
              <w:rPr>
                <w:rFonts w:eastAsia="Times New Roman" w:cstheme="minorHAnsi"/>
                <w:color w:val="000000"/>
                <w:sz w:val="20"/>
                <w:szCs w:val="20"/>
                <w:lang w:val="en-US" w:eastAsia="it-IT"/>
              </w:rPr>
              <w:t>)</w:t>
            </w:r>
          </w:p>
        </w:tc>
        <w:tc>
          <w:tcPr>
            <w:tcW w:w="3460" w:type="dxa"/>
            <w:vAlign w:val="center"/>
          </w:tcPr>
          <w:p w14:paraId="0005EBB3" w14:textId="77777777" w:rsidR="00E0319A" w:rsidRPr="002B6E41" w:rsidRDefault="00E0319A" w:rsidP="00E0319A">
            <w:pPr>
              <w:spacing w:after="0" w:line="240" w:lineRule="auto"/>
              <w:rPr>
                <w:rFonts w:cstheme="minorHAnsi"/>
                <w:sz w:val="20"/>
                <w:szCs w:val="20"/>
                <w:lang w:val="en-US"/>
              </w:rPr>
            </w:pPr>
            <w:r>
              <w:rPr>
                <w:rFonts w:cstheme="minorHAnsi"/>
                <w:sz w:val="20"/>
                <w:szCs w:val="20"/>
                <w:lang w:val="en-US"/>
              </w:rPr>
              <w:t>Not available</w:t>
            </w:r>
          </w:p>
        </w:tc>
        <w:tc>
          <w:tcPr>
            <w:tcW w:w="1134" w:type="dxa"/>
            <w:shd w:val="clear" w:color="auto" w:fill="auto"/>
            <w:noWrap/>
            <w:vAlign w:val="center"/>
          </w:tcPr>
          <w:p w14:paraId="7E2FE5E0" w14:textId="77777777" w:rsidR="00E0319A" w:rsidRPr="0067733C" w:rsidRDefault="00E0319A" w:rsidP="00E0158D">
            <w:pPr>
              <w:spacing w:after="0" w:line="240" w:lineRule="auto"/>
              <w:jc w:val="both"/>
              <w:rPr>
                <w:rFonts w:eastAsia="Times New Roman" w:cstheme="minorHAnsi"/>
                <w:color w:val="000000"/>
                <w:sz w:val="20"/>
                <w:szCs w:val="20"/>
                <w:lang w:val="en-US" w:eastAsia="it-IT"/>
              </w:rPr>
            </w:pPr>
            <w:r>
              <w:rPr>
                <w:rFonts w:cstheme="minorHAnsi"/>
                <w:sz w:val="20"/>
                <w:szCs w:val="20"/>
              </w:rPr>
              <w:t>Recruiting</w:t>
            </w:r>
          </w:p>
        </w:tc>
      </w:tr>
      <w:tr w:rsidR="00FE3BFE" w:rsidRPr="00895694" w14:paraId="183294C0" w14:textId="77777777" w:rsidTr="00FE3BFE">
        <w:trPr>
          <w:trHeight w:val="285"/>
        </w:trPr>
        <w:tc>
          <w:tcPr>
            <w:tcW w:w="1190" w:type="dxa"/>
            <w:vMerge/>
            <w:vAlign w:val="center"/>
          </w:tcPr>
          <w:p w14:paraId="30F14EC3" w14:textId="77777777" w:rsidR="00E0319A" w:rsidRPr="0067733C" w:rsidRDefault="00E0319A" w:rsidP="00E0158D">
            <w:pPr>
              <w:spacing w:after="0" w:line="240" w:lineRule="auto"/>
              <w:rPr>
                <w:rFonts w:cstheme="minorHAnsi"/>
                <w:sz w:val="20"/>
                <w:szCs w:val="20"/>
                <w:lang w:val="en-US"/>
              </w:rPr>
            </w:pPr>
          </w:p>
        </w:tc>
        <w:tc>
          <w:tcPr>
            <w:tcW w:w="2071" w:type="dxa"/>
            <w:vMerge/>
            <w:shd w:val="clear" w:color="auto" w:fill="auto"/>
            <w:noWrap/>
            <w:vAlign w:val="center"/>
          </w:tcPr>
          <w:p w14:paraId="34676BC1" w14:textId="77777777" w:rsidR="00E0319A" w:rsidRPr="0067733C" w:rsidRDefault="00E0319A" w:rsidP="00E0158D">
            <w:pPr>
              <w:spacing w:after="0" w:line="240" w:lineRule="auto"/>
              <w:rPr>
                <w:rFonts w:cstheme="minorHAnsi"/>
                <w:sz w:val="20"/>
                <w:szCs w:val="20"/>
                <w:lang w:val="en-US"/>
              </w:rPr>
            </w:pPr>
          </w:p>
        </w:tc>
        <w:tc>
          <w:tcPr>
            <w:tcW w:w="1679" w:type="dxa"/>
            <w:vAlign w:val="center"/>
          </w:tcPr>
          <w:p w14:paraId="7E9D8794" w14:textId="3BFCF2DD" w:rsidR="00E0319A" w:rsidRPr="0081060E" w:rsidRDefault="00E0319A" w:rsidP="00E0158D">
            <w:pPr>
              <w:spacing w:after="0" w:line="240" w:lineRule="auto"/>
              <w:rPr>
                <w:rFonts w:cstheme="minorHAnsi"/>
                <w:color w:val="000000"/>
                <w:sz w:val="20"/>
                <w:szCs w:val="20"/>
              </w:rPr>
            </w:pPr>
            <w:r w:rsidRPr="0081060E">
              <w:rPr>
                <w:rFonts w:cstheme="minorHAnsi"/>
                <w:color w:val="000000"/>
                <w:sz w:val="20"/>
                <w:szCs w:val="20"/>
              </w:rPr>
              <w:t>NCT04951622</w:t>
            </w:r>
            <w:r w:rsidR="00ED37F9">
              <w:rPr>
                <w:rFonts w:cstheme="minorHAnsi"/>
                <w:color w:val="000000"/>
                <w:sz w:val="20"/>
                <w:szCs w:val="20"/>
              </w:rPr>
              <w:t xml:space="preserve"> [122]</w:t>
            </w:r>
          </w:p>
        </w:tc>
        <w:tc>
          <w:tcPr>
            <w:tcW w:w="641" w:type="dxa"/>
            <w:vAlign w:val="center"/>
          </w:tcPr>
          <w:p w14:paraId="7C672901" w14:textId="77777777" w:rsidR="00E0319A" w:rsidRPr="0081060E" w:rsidRDefault="00E0319A" w:rsidP="00E0158D">
            <w:pPr>
              <w:spacing w:after="0" w:line="240" w:lineRule="auto"/>
              <w:rPr>
                <w:rFonts w:eastAsia="Times New Roman" w:cstheme="minorHAnsi"/>
                <w:color w:val="000000"/>
                <w:kern w:val="0"/>
                <w:sz w:val="20"/>
                <w:szCs w:val="20"/>
                <w:lang w:val="en-US" w:eastAsia="it-IT"/>
                <w14:ligatures w14:val="none"/>
              </w:rPr>
            </w:pPr>
            <w:r w:rsidRPr="0081060E">
              <w:rPr>
                <w:rFonts w:cstheme="minorHAnsi"/>
                <w:sz w:val="20"/>
                <w:szCs w:val="20"/>
              </w:rPr>
              <w:t>III</w:t>
            </w:r>
          </w:p>
        </w:tc>
        <w:tc>
          <w:tcPr>
            <w:tcW w:w="1701" w:type="dxa"/>
            <w:shd w:val="clear" w:color="auto" w:fill="auto"/>
            <w:noWrap/>
            <w:vAlign w:val="center"/>
          </w:tcPr>
          <w:p w14:paraId="1C9D0F77" w14:textId="65F05D11" w:rsidR="00E0319A" w:rsidRPr="0081060E" w:rsidRDefault="00E0319A" w:rsidP="00E0158D">
            <w:pPr>
              <w:spacing w:after="0" w:line="240" w:lineRule="auto"/>
              <w:rPr>
                <w:rFonts w:eastAsia="Times New Roman" w:cstheme="minorHAnsi"/>
                <w:color w:val="000000"/>
                <w:kern w:val="0"/>
                <w:sz w:val="20"/>
                <w:szCs w:val="20"/>
                <w:lang w:eastAsia="it-IT"/>
                <w14:ligatures w14:val="none"/>
              </w:rPr>
            </w:pPr>
            <w:r w:rsidRPr="0081060E">
              <w:rPr>
                <w:rFonts w:eastAsia="Times New Roman" w:cstheme="minorHAnsi"/>
                <w:color w:val="000000"/>
                <w:kern w:val="0"/>
                <w:sz w:val="20"/>
                <w:szCs w:val="20"/>
                <w:lang w:val="en-US" w:eastAsia="it-IT"/>
                <w14:ligatures w14:val="none"/>
              </w:rPr>
              <w:t>≥ 18</w:t>
            </w:r>
          </w:p>
        </w:tc>
        <w:tc>
          <w:tcPr>
            <w:tcW w:w="882" w:type="dxa"/>
            <w:vAlign w:val="center"/>
          </w:tcPr>
          <w:p w14:paraId="506704B2" w14:textId="77777777" w:rsidR="00E0319A" w:rsidRPr="002D0965" w:rsidRDefault="00E0319A" w:rsidP="00E0158D">
            <w:pPr>
              <w:spacing w:after="0" w:line="240" w:lineRule="auto"/>
              <w:jc w:val="both"/>
              <w:rPr>
                <w:rFonts w:eastAsia="Times New Roman" w:cstheme="minorHAnsi"/>
                <w:color w:val="000000"/>
                <w:sz w:val="20"/>
                <w:szCs w:val="20"/>
                <w:lang w:val="en-US" w:eastAsia="it-IT"/>
              </w:rPr>
            </w:pPr>
            <w:r w:rsidRPr="0081060E">
              <w:rPr>
                <w:rFonts w:cstheme="minorHAnsi"/>
                <w:sz w:val="20"/>
                <w:szCs w:val="20"/>
              </w:rPr>
              <w:t>198</w:t>
            </w:r>
          </w:p>
        </w:tc>
        <w:tc>
          <w:tcPr>
            <w:tcW w:w="3402" w:type="dxa"/>
            <w:vAlign w:val="center"/>
          </w:tcPr>
          <w:p w14:paraId="1B2C10E9" w14:textId="77777777" w:rsidR="00E0319A" w:rsidRPr="002D0965" w:rsidRDefault="00E0319A" w:rsidP="00E0158D">
            <w:pPr>
              <w:spacing w:after="0" w:line="240" w:lineRule="auto"/>
              <w:jc w:val="both"/>
              <w:rPr>
                <w:rFonts w:eastAsia="Times New Roman" w:cstheme="minorHAnsi"/>
                <w:color w:val="000000"/>
                <w:sz w:val="20"/>
                <w:szCs w:val="20"/>
                <w:lang w:val="en-US" w:eastAsia="it-IT"/>
              </w:rPr>
            </w:pPr>
            <w:r w:rsidRPr="002D0965">
              <w:rPr>
                <w:rFonts w:eastAsia="Times New Roman" w:cstheme="minorHAnsi"/>
                <w:color w:val="000000"/>
                <w:sz w:val="20"/>
                <w:szCs w:val="20"/>
                <w:lang w:val="en-US" w:eastAsia="it-IT"/>
              </w:rPr>
              <w:t>Change in total score of the MG-ADL scale from baseline to week 24</w:t>
            </w:r>
          </w:p>
        </w:tc>
        <w:tc>
          <w:tcPr>
            <w:tcW w:w="3460" w:type="dxa"/>
            <w:vAlign w:val="center"/>
          </w:tcPr>
          <w:p w14:paraId="049171DF" w14:textId="77777777" w:rsidR="00E0319A" w:rsidRDefault="00E0319A" w:rsidP="00E0319A">
            <w:pPr>
              <w:spacing w:after="0" w:line="240" w:lineRule="auto"/>
              <w:rPr>
                <w:rFonts w:cstheme="minorHAnsi"/>
                <w:sz w:val="20"/>
                <w:szCs w:val="20"/>
              </w:rPr>
            </w:pPr>
            <w:r>
              <w:rPr>
                <w:rFonts w:cstheme="minorHAnsi"/>
                <w:sz w:val="20"/>
                <w:szCs w:val="20"/>
                <w:lang w:val="en-US"/>
              </w:rPr>
              <w:t>Not available</w:t>
            </w:r>
          </w:p>
        </w:tc>
        <w:tc>
          <w:tcPr>
            <w:tcW w:w="1134" w:type="dxa"/>
            <w:shd w:val="clear" w:color="auto" w:fill="auto"/>
            <w:noWrap/>
            <w:vAlign w:val="center"/>
          </w:tcPr>
          <w:p w14:paraId="5ACA2677" w14:textId="77777777" w:rsidR="00E0319A" w:rsidRPr="0067733C" w:rsidRDefault="00E0319A" w:rsidP="00E0158D">
            <w:pPr>
              <w:spacing w:after="0" w:line="240" w:lineRule="auto"/>
              <w:jc w:val="both"/>
              <w:rPr>
                <w:rFonts w:eastAsia="Times New Roman" w:cstheme="minorHAnsi"/>
                <w:color w:val="000000"/>
                <w:sz w:val="20"/>
                <w:szCs w:val="20"/>
                <w:lang w:val="en-US" w:eastAsia="it-IT"/>
              </w:rPr>
            </w:pPr>
            <w:r>
              <w:rPr>
                <w:rFonts w:cstheme="minorHAnsi"/>
                <w:sz w:val="20"/>
                <w:szCs w:val="20"/>
              </w:rPr>
              <w:t>Recruiting</w:t>
            </w:r>
          </w:p>
        </w:tc>
      </w:tr>
      <w:tr w:rsidR="00FE3BFE" w:rsidRPr="00895694" w14:paraId="3A256B1B" w14:textId="77777777" w:rsidTr="00FE3BFE">
        <w:trPr>
          <w:trHeight w:val="285"/>
        </w:trPr>
        <w:tc>
          <w:tcPr>
            <w:tcW w:w="1190" w:type="dxa"/>
            <w:vMerge/>
            <w:vAlign w:val="center"/>
          </w:tcPr>
          <w:p w14:paraId="67814458" w14:textId="77777777" w:rsidR="00E0319A" w:rsidRPr="0067733C" w:rsidRDefault="00E0319A" w:rsidP="00E0158D">
            <w:pPr>
              <w:spacing w:after="0" w:line="240" w:lineRule="auto"/>
              <w:rPr>
                <w:rFonts w:cstheme="minorHAnsi"/>
                <w:sz w:val="20"/>
                <w:szCs w:val="20"/>
                <w:lang w:val="en-US"/>
              </w:rPr>
            </w:pPr>
          </w:p>
        </w:tc>
        <w:tc>
          <w:tcPr>
            <w:tcW w:w="2071" w:type="dxa"/>
            <w:vMerge/>
            <w:shd w:val="clear" w:color="auto" w:fill="auto"/>
            <w:noWrap/>
            <w:vAlign w:val="center"/>
          </w:tcPr>
          <w:p w14:paraId="6527BF74" w14:textId="77777777" w:rsidR="00E0319A" w:rsidRPr="0067733C" w:rsidRDefault="00E0319A" w:rsidP="00E0158D">
            <w:pPr>
              <w:spacing w:after="0" w:line="240" w:lineRule="auto"/>
              <w:rPr>
                <w:rFonts w:cstheme="minorHAnsi"/>
                <w:sz w:val="20"/>
                <w:szCs w:val="20"/>
                <w:lang w:val="en-US"/>
              </w:rPr>
            </w:pPr>
          </w:p>
        </w:tc>
        <w:tc>
          <w:tcPr>
            <w:tcW w:w="1679" w:type="dxa"/>
            <w:vAlign w:val="center"/>
          </w:tcPr>
          <w:p w14:paraId="40E8BD07" w14:textId="52220DB4" w:rsidR="00E0319A" w:rsidRPr="0081060E" w:rsidRDefault="00E0319A" w:rsidP="00E0158D">
            <w:pPr>
              <w:spacing w:after="0" w:line="240" w:lineRule="auto"/>
              <w:rPr>
                <w:rFonts w:cstheme="minorHAnsi"/>
                <w:color w:val="000000"/>
                <w:sz w:val="20"/>
                <w:szCs w:val="20"/>
              </w:rPr>
            </w:pPr>
            <w:bookmarkStart w:id="31" w:name="_Hlk151998398"/>
            <w:r w:rsidRPr="0081060E">
              <w:rPr>
                <w:rFonts w:cstheme="minorHAnsi"/>
                <w:color w:val="000000"/>
                <w:sz w:val="20"/>
                <w:szCs w:val="20"/>
              </w:rPr>
              <w:t>NCT03896295</w:t>
            </w:r>
            <w:r w:rsidR="00ED37F9">
              <w:rPr>
                <w:rFonts w:cstheme="minorHAnsi"/>
                <w:color w:val="000000"/>
                <w:sz w:val="20"/>
                <w:szCs w:val="20"/>
              </w:rPr>
              <w:t xml:space="preserve"> </w:t>
            </w:r>
            <w:bookmarkEnd w:id="31"/>
            <w:r w:rsidR="00ED37F9">
              <w:rPr>
                <w:rFonts w:cstheme="minorHAnsi"/>
                <w:color w:val="000000"/>
                <w:sz w:val="20"/>
                <w:szCs w:val="20"/>
              </w:rPr>
              <w:t>[123]</w:t>
            </w:r>
          </w:p>
        </w:tc>
        <w:tc>
          <w:tcPr>
            <w:tcW w:w="641" w:type="dxa"/>
            <w:vAlign w:val="center"/>
          </w:tcPr>
          <w:p w14:paraId="3BA880FF" w14:textId="77777777" w:rsidR="00E0319A" w:rsidRPr="0081060E" w:rsidRDefault="00E0319A" w:rsidP="00E0158D">
            <w:pPr>
              <w:spacing w:after="0" w:line="240" w:lineRule="auto"/>
              <w:rPr>
                <w:rFonts w:eastAsia="Times New Roman" w:cstheme="minorHAnsi"/>
                <w:color w:val="000000"/>
                <w:kern w:val="0"/>
                <w:sz w:val="20"/>
                <w:szCs w:val="20"/>
                <w:lang w:val="en-US" w:eastAsia="it-IT"/>
                <w14:ligatures w14:val="none"/>
              </w:rPr>
            </w:pPr>
            <w:r w:rsidRPr="0081060E">
              <w:rPr>
                <w:rFonts w:cstheme="minorHAnsi"/>
                <w:sz w:val="20"/>
                <w:szCs w:val="20"/>
              </w:rPr>
              <w:t>II</w:t>
            </w:r>
          </w:p>
        </w:tc>
        <w:tc>
          <w:tcPr>
            <w:tcW w:w="1701" w:type="dxa"/>
            <w:shd w:val="clear" w:color="auto" w:fill="auto"/>
            <w:noWrap/>
            <w:vAlign w:val="center"/>
          </w:tcPr>
          <w:p w14:paraId="4A698D1B" w14:textId="1FC2FDB9" w:rsidR="00E0319A" w:rsidRPr="0081060E" w:rsidRDefault="00E0319A" w:rsidP="00E0158D">
            <w:pPr>
              <w:spacing w:after="0" w:line="240" w:lineRule="auto"/>
              <w:rPr>
                <w:rFonts w:eastAsia="Times New Roman" w:cstheme="minorHAnsi"/>
                <w:color w:val="000000"/>
                <w:kern w:val="0"/>
                <w:sz w:val="20"/>
                <w:szCs w:val="20"/>
                <w:lang w:val="en-US" w:eastAsia="it-IT"/>
                <w14:ligatures w14:val="none"/>
              </w:rPr>
            </w:pPr>
            <w:r w:rsidRPr="0081060E">
              <w:rPr>
                <w:rFonts w:eastAsia="Times New Roman" w:cstheme="minorHAnsi"/>
                <w:color w:val="000000"/>
                <w:kern w:val="0"/>
                <w:sz w:val="20"/>
                <w:szCs w:val="20"/>
                <w:lang w:val="en-US" w:eastAsia="it-IT"/>
                <w14:ligatures w14:val="none"/>
              </w:rPr>
              <w:t>≥ 18</w:t>
            </w:r>
          </w:p>
        </w:tc>
        <w:tc>
          <w:tcPr>
            <w:tcW w:w="882" w:type="dxa"/>
            <w:vAlign w:val="center"/>
          </w:tcPr>
          <w:p w14:paraId="4E570FD0" w14:textId="77777777" w:rsidR="00E0319A" w:rsidRPr="002D0965" w:rsidRDefault="00E0319A" w:rsidP="00E0158D">
            <w:pPr>
              <w:spacing w:after="0" w:line="240" w:lineRule="auto"/>
              <w:jc w:val="both"/>
              <w:rPr>
                <w:rFonts w:eastAsia="Times New Roman" w:cstheme="minorHAnsi"/>
                <w:color w:val="000000"/>
                <w:sz w:val="20"/>
                <w:szCs w:val="20"/>
                <w:lang w:val="en-US" w:eastAsia="it-IT"/>
              </w:rPr>
            </w:pPr>
            <w:r w:rsidRPr="0081060E">
              <w:rPr>
                <w:rFonts w:cstheme="minorHAnsi"/>
                <w:sz w:val="20"/>
                <w:szCs w:val="20"/>
              </w:rPr>
              <w:t>37</w:t>
            </w:r>
          </w:p>
        </w:tc>
        <w:tc>
          <w:tcPr>
            <w:tcW w:w="3402" w:type="dxa"/>
            <w:vAlign w:val="center"/>
          </w:tcPr>
          <w:p w14:paraId="7D067194" w14:textId="7B13AC8D" w:rsidR="00E0319A" w:rsidRPr="002D0965" w:rsidRDefault="00E0319A" w:rsidP="00E0158D">
            <w:pPr>
              <w:spacing w:after="0" w:line="240" w:lineRule="auto"/>
              <w:jc w:val="both"/>
              <w:rPr>
                <w:rFonts w:eastAsia="Times New Roman" w:cstheme="minorHAnsi"/>
                <w:color w:val="000000"/>
                <w:sz w:val="20"/>
                <w:szCs w:val="20"/>
                <w:lang w:val="en-US" w:eastAsia="it-IT"/>
              </w:rPr>
            </w:pPr>
            <w:r w:rsidRPr="002D0965">
              <w:rPr>
                <w:rFonts w:eastAsia="Times New Roman" w:cstheme="minorHAnsi"/>
                <w:color w:val="000000"/>
                <w:sz w:val="20"/>
                <w:szCs w:val="20"/>
                <w:lang w:val="en-US" w:eastAsia="it-IT"/>
              </w:rPr>
              <w:t>Percentage of participants with adverse events occurring during treatment</w:t>
            </w:r>
            <w:r>
              <w:rPr>
                <w:rFonts w:eastAsia="Times New Roman" w:cstheme="minorHAnsi"/>
                <w:color w:val="000000"/>
                <w:sz w:val="20"/>
                <w:szCs w:val="20"/>
                <w:lang w:val="en-US" w:eastAsia="it-IT"/>
              </w:rPr>
              <w:t xml:space="preserve"> up to 257 days post-baseline</w:t>
            </w:r>
          </w:p>
        </w:tc>
        <w:tc>
          <w:tcPr>
            <w:tcW w:w="3460" w:type="dxa"/>
            <w:vAlign w:val="center"/>
          </w:tcPr>
          <w:p w14:paraId="7B4044DB" w14:textId="77777777" w:rsidR="00E0319A" w:rsidRPr="00E0319A" w:rsidRDefault="00E0319A" w:rsidP="00E0158D">
            <w:pPr>
              <w:spacing w:after="0" w:line="240" w:lineRule="auto"/>
              <w:jc w:val="both"/>
              <w:rPr>
                <w:rFonts w:cstheme="minorHAnsi"/>
                <w:sz w:val="20"/>
                <w:szCs w:val="20"/>
                <w:lang w:val="en-US"/>
              </w:rPr>
            </w:pPr>
            <w:r>
              <w:rPr>
                <w:sz w:val="20"/>
                <w:szCs w:val="20"/>
                <w:lang w:val="en-US"/>
              </w:rPr>
              <w:t xml:space="preserve">The percentage of patients experiencing at least one treatment-emergent adverse event was 57.1% for patients switching from placebo to </w:t>
            </w:r>
            <w:proofErr w:type="spellStart"/>
            <w:r>
              <w:rPr>
                <w:sz w:val="20"/>
                <w:szCs w:val="20"/>
                <w:lang w:val="en-US"/>
              </w:rPr>
              <w:t>nipocalimab</w:t>
            </w:r>
            <w:proofErr w:type="spellEnd"/>
            <w:r>
              <w:rPr>
                <w:sz w:val="20"/>
                <w:szCs w:val="20"/>
                <w:lang w:val="en-US"/>
              </w:rPr>
              <w:t xml:space="preserve"> and 60.0% for patients continuing treatment with </w:t>
            </w:r>
            <w:proofErr w:type="spellStart"/>
            <w:r>
              <w:rPr>
                <w:sz w:val="20"/>
                <w:szCs w:val="20"/>
                <w:lang w:val="en-US"/>
              </w:rPr>
              <w:t>nipocalimab</w:t>
            </w:r>
            <w:proofErr w:type="spellEnd"/>
          </w:p>
        </w:tc>
        <w:tc>
          <w:tcPr>
            <w:tcW w:w="1134" w:type="dxa"/>
            <w:shd w:val="clear" w:color="auto" w:fill="auto"/>
            <w:noWrap/>
            <w:vAlign w:val="center"/>
          </w:tcPr>
          <w:p w14:paraId="6B9E7CC4" w14:textId="77777777" w:rsidR="00E0319A" w:rsidRPr="0067733C" w:rsidRDefault="00E0319A" w:rsidP="00E0158D">
            <w:pPr>
              <w:spacing w:after="0" w:line="240" w:lineRule="auto"/>
              <w:jc w:val="both"/>
              <w:rPr>
                <w:rFonts w:eastAsia="Times New Roman" w:cstheme="minorHAnsi"/>
                <w:color w:val="000000"/>
                <w:sz w:val="20"/>
                <w:szCs w:val="20"/>
                <w:lang w:val="en-US" w:eastAsia="it-IT"/>
              </w:rPr>
            </w:pPr>
            <w:proofErr w:type="spellStart"/>
            <w:r>
              <w:rPr>
                <w:rFonts w:cstheme="minorHAnsi"/>
                <w:sz w:val="20"/>
                <w:szCs w:val="20"/>
              </w:rPr>
              <w:t>Completed</w:t>
            </w:r>
            <w:proofErr w:type="spellEnd"/>
          </w:p>
        </w:tc>
      </w:tr>
      <w:tr w:rsidR="00FE3BFE" w:rsidRPr="00895694" w14:paraId="7839BF64" w14:textId="77777777" w:rsidTr="00FE3BFE">
        <w:trPr>
          <w:trHeight w:val="285"/>
        </w:trPr>
        <w:tc>
          <w:tcPr>
            <w:tcW w:w="1190" w:type="dxa"/>
            <w:vMerge/>
            <w:vAlign w:val="center"/>
          </w:tcPr>
          <w:p w14:paraId="488AC70C" w14:textId="77777777" w:rsidR="00E0319A" w:rsidRPr="0067733C" w:rsidRDefault="00E0319A" w:rsidP="00E0158D">
            <w:pPr>
              <w:spacing w:after="0" w:line="240" w:lineRule="auto"/>
              <w:rPr>
                <w:rFonts w:cstheme="minorHAnsi"/>
                <w:sz w:val="20"/>
                <w:szCs w:val="20"/>
                <w:lang w:val="en-US"/>
              </w:rPr>
            </w:pPr>
          </w:p>
        </w:tc>
        <w:tc>
          <w:tcPr>
            <w:tcW w:w="2071" w:type="dxa"/>
            <w:vMerge/>
            <w:shd w:val="clear" w:color="auto" w:fill="auto"/>
            <w:noWrap/>
            <w:vAlign w:val="center"/>
          </w:tcPr>
          <w:p w14:paraId="0F02E1D7" w14:textId="77777777" w:rsidR="00E0319A" w:rsidRPr="0067733C" w:rsidRDefault="00E0319A" w:rsidP="00E0158D">
            <w:pPr>
              <w:spacing w:after="0" w:line="240" w:lineRule="auto"/>
              <w:rPr>
                <w:rFonts w:cstheme="minorHAnsi"/>
                <w:sz w:val="20"/>
                <w:szCs w:val="20"/>
                <w:lang w:val="en-US"/>
              </w:rPr>
            </w:pPr>
          </w:p>
        </w:tc>
        <w:tc>
          <w:tcPr>
            <w:tcW w:w="1679" w:type="dxa"/>
            <w:vAlign w:val="center"/>
          </w:tcPr>
          <w:p w14:paraId="7C9EBDB5" w14:textId="142947C2" w:rsidR="00E0319A" w:rsidRPr="0081060E" w:rsidRDefault="00E0319A" w:rsidP="00E0158D">
            <w:pPr>
              <w:spacing w:after="0" w:line="240" w:lineRule="auto"/>
              <w:rPr>
                <w:rFonts w:cstheme="minorHAnsi"/>
                <w:color w:val="000000"/>
                <w:sz w:val="20"/>
                <w:szCs w:val="20"/>
              </w:rPr>
            </w:pPr>
            <w:bookmarkStart w:id="32" w:name="_Hlk151998447"/>
            <w:r w:rsidRPr="0081060E">
              <w:rPr>
                <w:rFonts w:cstheme="minorHAnsi"/>
                <w:color w:val="000000"/>
                <w:sz w:val="20"/>
                <w:szCs w:val="20"/>
              </w:rPr>
              <w:t>NCT03772587</w:t>
            </w:r>
            <w:r w:rsidR="00ED37F9">
              <w:rPr>
                <w:rFonts w:cstheme="minorHAnsi"/>
                <w:color w:val="000000"/>
                <w:sz w:val="20"/>
                <w:szCs w:val="20"/>
              </w:rPr>
              <w:t xml:space="preserve"> </w:t>
            </w:r>
            <w:bookmarkEnd w:id="32"/>
            <w:r w:rsidR="00ED37F9">
              <w:rPr>
                <w:rFonts w:cstheme="minorHAnsi"/>
                <w:color w:val="000000"/>
                <w:sz w:val="20"/>
                <w:szCs w:val="20"/>
              </w:rPr>
              <w:t>[124]</w:t>
            </w:r>
          </w:p>
        </w:tc>
        <w:tc>
          <w:tcPr>
            <w:tcW w:w="641" w:type="dxa"/>
            <w:vAlign w:val="center"/>
          </w:tcPr>
          <w:p w14:paraId="70E0C954" w14:textId="77777777" w:rsidR="00E0319A" w:rsidRPr="0081060E" w:rsidRDefault="00E0319A" w:rsidP="00E0158D">
            <w:pPr>
              <w:spacing w:after="0" w:line="240" w:lineRule="auto"/>
              <w:rPr>
                <w:rFonts w:eastAsia="Times New Roman" w:cstheme="minorHAnsi"/>
                <w:color w:val="000000"/>
                <w:kern w:val="0"/>
                <w:sz w:val="20"/>
                <w:szCs w:val="20"/>
                <w:lang w:val="en-US" w:eastAsia="it-IT"/>
                <w14:ligatures w14:val="none"/>
              </w:rPr>
            </w:pPr>
            <w:r w:rsidRPr="0081060E">
              <w:rPr>
                <w:rFonts w:cstheme="minorHAnsi"/>
                <w:sz w:val="20"/>
                <w:szCs w:val="20"/>
              </w:rPr>
              <w:t>II</w:t>
            </w:r>
          </w:p>
        </w:tc>
        <w:tc>
          <w:tcPr>
            <w:tcW w:w="1701" w:type="dxa"/>
            <w:shd w:val="clear" w:color="auto" w:fill="auto"/>
            <w:noWrap/>
            <w:vAlign w:val="center"/>
          </w:tcPr>
          <w:p w14:paraId="7A989007" w14:textId="05809D35" w:rsidR="00E0319A" w:rsidRPr="0081060E" w:rsidRDefault="00E0319A" w:rsidP="00E0158D">
            <w:pPr>
              <w:spacing w:after="0" w:line="240" w:lineRule="auto"/>
              <w:rPr>
                <w:rFonts w:eastAsia="Times New Roman" w:cstheme="minorHAnsi"/>
                <w:color w:val="000000"/>
                <w:kern w:val="0"/>
                <w:sz w:val="20"/>
                <w:szCs w:val="20"/>
                <w:lang w:val="en-US" w:eastAsia="it-IT"/>
                <w14:ligatures w14:val="none"/>
              </w:rPr>
            </w:pPr>
            <w:r w:rsidRPr="0081060E">
              <w:rPr>
                <w:rFonts w:eastAsia="Times New Roman" w:cstheme="minorHAnsi"/>
                <w:color w:val="000000"/>
                <w:kern w:val="0"/>
                <w:sz w:val="20"/>
                <w:szCs w:val="20"/>
                <w:lang w:val="en-US" w:eastAsia="it-IT"/>
                <w14:ligatures w14:val="none"/>
              </w:rPr>
              <w:t>≥ 18</w:t>
            </w:r>
          </w:p>
        </w:tc>
        <w:tc>
          <w:tcPr>
            <w:tcW w:w="882" w:type="dxa"/>
            <w:vAlign w:val="center"/>
          </w:tcPr>
          <w:p w14:paraId="49DA47C4" w14:textId="77777777" w:rsidR="00E0319A" w:rsidRPr="002D0965" w:rsidRDefault="00E0319A" w:rsidP="00E0158D">
            <w:pPr>
              <w:spacing w:after="0" w:line="240" w:lineRule="auto"/>
              <w:jc w:val="both"/>
              <w:rPr>
                <w:rFonts w:eastAsia="Times New Roman" w:cstheme="minorHAnsi"/>
                <w:color w:val="000000"/>
                <w:sz w:val="20"/>
                <w:szCs w:val="20"/>
                <w:lang w:val="en-US" w:eastAsia="it-IT"/>
              </w:rPr>
            </w:pPr>
            <w:r w:rsidRPr="0081060E">
              <w:rPr>
                <w:rFonts w:cstheme="minorHAnsi"/>
                <w:sz w:val="20"/>
                <w:szCs w:val="20"/>
              </w:rPr>
              <w:t>68</w:t>
            </w:r>
          </w:p>
        </w:tc>
        <w:tc>
          <w:tcPr>
            <w:tcW w:w="3402" w:type="dxa"/>
            <w:vAlign w:val="center"/>
          </w:tcPr>
          <w:p w14:paraId="56000158" w14:textId="1EBB2922" w:rsidR="00E0319A" w:rsidRPr="002D0965" w:rsidRDefault="00E0319A" w:rsidP="00E0158D">
            <w:pPr>
              <w:spacing w:after="0" w:line="240" w:lineRule="auto"/>
              <w:jc w:val="both"/>
              <w:rPr>
                <w:rFonts w:eastAsia="Times New Roman" w:cstheme="minorHAnsi"/>
                <w:color w:val="000000"/>
                <w:sz w:val="20"/>
                <w:szCs w:val="20"/>
                <w:lang w:val="en-US" w:eastAsia="it-IT"/>
              </w:rPr>
            </w:pPr>
            <w:r w:rsidRPr="002D0965">
              <w:rPr>
                <w:rFonts w:eastAsia="Times New Roman" w:cstheme="minorHAnsi"/>
                <w:color w:val="000000"/>
                <w:sz w:val="20"/>
                <w:szCs w:val="20"/>
                <w:lang w:val="en-US" w:eastAsia="it-IT"/>
              </w:rPr>
              <w:t>Number of participants with adverse events occurring during treatment</w:t>
            </w:r>
            <w:r>
              <w:rPr>
                <w:rFonts w:eastAsia="Times New Roman" w:cstheme="minorHAnsi"/>
                <w:color w:val="000000"/>
                <w:sz w:val="20"/>
                <w:szCs w:val="20"/>
                <w:lang w:val="en-US" w:eastAsia="it-IT"/>
              </w:rPr>
              <w:t xml:space="preserve"> from baseline to day</w:t>
            </w:r>
            <w:r w:rsidRPr="002D0965">
              <w:rPr>
                <w:rFonts w:eastAsia="Times New Roman" w:cstheme="minorHAnsi"/>
                <w:color w:val="000000"/>
                <w:sz w:val="20"/>
                <w:szCs w:val="20"/>
                <w:lang w:val="en-US" w:eastAsia="it-IT"/>
              </w:rPr>
              <w:t xml:space="preserve"> </w:t>
            </w:r>
            <w:proofErr w:type="gramStart"/>
            <w:r w:rsidRPr="002D0965">
              <w:rPr>
                <w:rFonts w:eastAsia="Times New Roman" w:cstheme="minorHAnsi"/>
                <w:color w:val="000000"/>
                <w:sz w:val="20"/>
                <w:szCs w:val="20"/>
                <w:lang w:val="en-US" w:eastAsia="it-IT"/>
              </w:rPr>
              <w:t>113;</w:t>
            </w:r>
            <w:proofErr w:type="gramEnd"/>
          </w:p>
          <w:p w14:paraId="59407053" w14:textId="77777777" w:rsidR="00E0319A" w:rsidRPr="002D0965" w:rsidRDefault="00E0319A" w:rsidP="00E0158D">
            <w:pPr>
              <w:spacing w:after="0" w:line="240" w:lineRule="auto"/>
              <w:jc w:val="both"/>
              <w:rPr>
                <w:rFonts w:eastAsia="Times New Roman" w:cstheme="minorHAnsi"/>
                <w:color w:val="000000"/>
                <w:sz w:val="20"/>
                <w:szCs w:val="20"/>
                <w:lang w:val="en-US" w:eastAsia="it-IT"/>
              </w:rPr>
            </w:pPr>
            <w:r w:rsidRPr="002D0965">
              <w:rPr>
                <w:rFonts w:eastAsia="Times New Roman" w:cstheme="minorHAnsi"/>
                <w:color w:val="000000"/>
                <w:sz w:val="20"/>
                <w:szCs w:val="20"/>
                <w:lang w:val="en-US" w:eastAsia="it-IT"/>
              </w:rPr>
              <w:t>Change in total score of the MG-ADL scale from baseline to day 57</w:t>
            </w:r>
          </w:p>
        </w:tc>
        <w:tc>
          <w:tcPr>
            <w:tcW w:w="3460" w:type="dxa"/>
            <w:vAlign w:val="center"/>
          </w:tcPr>
          <w:p w14:paraId="1821F473" w14:textId="77777777" w:rsidR="00E0319A" w:rsidRPr="00E0319A" w:rsidRDefault="00E0319A" w:rsidP="00E0158D">
            <w:pPr>
              <w:spacing w:after="0" w:line="240" w:lineRule="auto"/>
              <w:jc w:val="both"/>
              <w:rPr>
                <w:sz w:val="20"/>
                <w:szCs w:val="20"/>
                <w:lang w:val="en-US"/>
              </w:rPr>
            </w:pPr>
            <w:r>
              <w:rPr>
                <w:sz w:val="20"/>
                <w:szCs w:val="20"/>
                <w:lang w:val="en-US"/>
              </w:rPr>
              <w:t xml:space="preserve">The percentage of patients experiencing at least one treatment-emergent adverse event was 78.6% for patients treated with placebo, 85.7% for patients treated with </w:t>
            </w:r>
            <w:proofErr w:type="spellStart"/>
            <w:r>
              <w:rPr>
                <w:sz w:val="20"/>
                <w:szCs w:val="20"/>
                <w:lang w:val="en-US"/>
              </w:rPr>
              <w:t>nipocalimab</w:t>
            </w:r>
            <w:proofErr w:type="spellEnd"/>
            <w:r>
              <w:rPr>
                <w:sz w:val="20"/>
                <w:szCs w:val="20"/>
                <w:lang w:val="en-US"/>
              </w:rPr>
              <w:t xml:space="preserve"> 5 mg/kg, 69.2% for patients treated with </w:t>
            </w:r>
            <w:proofErr w:type="spellStart"/>
            <w:r>
              <w:rPr>
                <w:sz w:val="20"/>
                <w:szCs w:val="20"/>
                <w:lang w:val="en-US"/>
              </w:rPr>
              <w:t>nipocalimab</w:t>
            </w:r>
            <w:proofErr w:type="spellEnd"/>
            <w:r>
              <w:rPr>
                <w:sz w:val="20"/>
                <w:szCs w:val="20"/>
                <w:lang w:val="en-US"/>
              </w:rPr>
              <w:t xml:space="preserve"> 30 mg/kg, and 92.3% for patients treated with </w:t>
            </w:r>
            <w:proofErr w:type="spellStart"/>
            <w:r>
              <w:rPr>
                <w:sz w:val="20"/>
                <w:szCs w:val="20"/>
                <w:lang w:val="en-US"/>
              </w:rPr>
              <w:t>nipocalimab</w:t>
            </w:r>
            <w:proofErr w:type="spellEnd"/>
            <w:r>
              <w:rPr>
                <w:sz w:val="20"/>
                <w:szCs w:val="20"/>
                <w:lang w:val="en-US"/>
              </w:rPr>
              <w:t xml:space="preserve"> 60 mg/kg</w:t>
            </w:r>
          </w:p>
        </w:tc>
        <w:tc>
          <w:tcPr>
            <w:tcW w:w="1134" w:type="dxa"/>
            <w:shd w:val="clear" w:color="auto" w:fill="auto"/>
            <w:noWrap/>
            <w:vAlign w:val="center"/>
          </w:tcPr>
          <w:p w14:paraId="69ABA083" w14:textId="77777777" w:rsidR="00E0319A" w:rsidRPr="0067733C" w:rsidRDefault="00E0319A" w:rsidP="00E0158D">
            <w:pPr>
              <w:spacing w:after="0" w:line="240" w:lineRule="auto"/>
              <w:jc w:val="both"/>
              <w:rPr>
                <w:rFonts w:eastAsia="Times New Roman" w:cstheme="minorHAnsi"/>
                <w:color w:val="000000"/>
                <w:sz w:val="20"/>
                <w:szCs w:val="20"/>
                <w:lang w:val="en-US" w:eastAsia="it-IT"/>
              </w:rPr>
            </w:pPr>
            <w:proofErr w:type="spellStart"/>
            <w:r>
              <w:rPr>
                <w:rFonts w:cstheme="minorHAnsi"/>
                <w:sz w:val="20"/>
                <w:szCs w:val="20"/>
              </w:rPr>
              <w:t>Completed</w:t>
            </w:r>
            <w:proofErr w:type="spellEnd"/>
          </w:p>
        </w:tc>
      </w:tr>
      <w:tr w:rsidR="00FE3BFE" w:rsidRPr="00895694" w14:paraId="53AAF747" w14:textId="77777777" w:rsidTr="00FE3BFE">
        <w:trPr>
          <w:trHeight w:val="285"/>
        </w:trPr>
        <w:tc>
          <w:tcPr>
            <w:tcW w:w="1190" w:type="dxa"/>
            <w:vAlign w:val="center"/>
          </w:tcPr>
          <w:p w14:paraId="5A705E8E" w14:textId="77777777" w:rsidR="00E0319A" w:rsidRPr="0081060E" w:rsidRDefault="00E0319A" w:rsidP="00E0158D">
            <w:pPr>
              <w:spacing w:after="0" w:line="240" w:lineRule="auto"/>
              <w:rPr>
                <w:rFonts w:cstheme="minorHAnsi"/>
                <w:sz w:val="20"/>
                <w:szCs w:val="20"/>
              </w:rPr>
            </w:pPr>
            <w:proofErr w:type="spellStart"/>
            <w:r w:rsidRPr="0081060E">
              <w:rPr>
                <w:rFonts w:cstheme="minorHAnsi"/>
                <w:sz w:val="20"/>
                <w:szCs w:val="20"/>
              </w:rPr>
              <w:t>Satralizumab</w:t>
            </w:r>
            <w:proofErr w:type="spellEnd"/>
          </w:p>
        </w:tc>
        <w:tc>
          <w:tcPr>
            <w:tcW w:w="2071" w:type="dxa"/>
            <w:shd w:val="clear" w:color="auto" w:fill="auto"/>
            <w:noWrap/>
            <w:vAlign w:val="center"/>
          </w:tcPr>
          <w:p w14:paraId="23E857E9" w14:textId="77777777" w:rsidR="00E0319A" w:rsidRPr="0081060E" w:rsidRDefault="00E0319A" w:rsidP="00E0158D">
            <w:pPr>
              <w:spacing w:after="0" w:line="240" w:lineRule="auto"/>
              <w:rPr>
                <w:rFonts w:cstheme="minorHAnsi"/>
                <w:sz w:val="20"/>
                <w:szCs w:val="20"/>
              </w:rPr>
            </w:pPr>
            <w:r w:rsidRPr="0056605A">
              <w:rPr>
                <w:rFonts w:cstheme="minorHAnsi"/>
                <w:sz w:val="20"/>
                <w:szCs w:val="20"/>
              </w:rPr>
              <w:t xml:space="preserve">Interleukin-6 receptor </w:t>
            </w:r>
            <w:proofErr w:type="spellStart"/>
            <w:r w:rsidRPr="0056605A">
              <w:rPr>
                <w:rFonts w:cstheme="minorHAnsi"/>
                <w:sz w:val="20"/>
                <w:szCs w:val="20"/>
              </w:rPr>
              <w:t>antagonist</w:t>
            </w:r>
            <w:proofErr w:type="spellEnd"/>
          </w:p>
        </w:tc>
        <w:tc>
          <w:tcPr>
            <w:tcW w:w="1679" w:type="dxa"/>
            <w:vAlign w:val="center"/>
          </w:tcPr>
          <w:p w14:paraId="238155D2" w14:textId="1A6D7BA3" w:rsidR="00E0319A" w:rsidRPr="0081060E" w:rsidRDefault="00E0319A" w:rsidP="00E0158D">
            <w:pPr>
              <w:spacing w:after="0" w:line="240" w:lineRule="auto"/>
              <w:rPr>
                <w:rFonts w:cstheme="minorHAnsi"/>
                <w:color w:val="000000"/>
                <w:sz w:val="20"/>
                <w:szCs w:val="20"/>
              </w:rPr>
            </w:pPr>
            <w:r w:rsidRPr="0081060E">
              <w:rPr>
                <w:rFonts w:cstheme="minorHAnsi"/>
                <w:color w:val="000000"/>
                <w:sz w:val="20"/>
                <w:szCs w:val="20"/>
              </w:rPr>
              <w:t>NCT04963270</w:t>
            </w:r>
            <w:r w:rsidR="00ED37F9">
              <w:rPr>
                <w:rFonts w:cstheme="minorHAnsi"/>
                <w:color w:val="000000"/>
                <w:sz w:val="20"/>
                <w:szCs w:val="20"/>
              </w:rPr>
              <w:t xml:space="preserve"> [78]</w:t>
            </w:r>
          </w:p>
        </w:tc>
        <w:tc>
          <w:tcPr>
            <w:tcW w:w="641" w:type="dxa"/>
            <w:vAlign w:val="center"/>
          </w:tcPr>
          <w:p w14:paraId="33C61A67" w14:textId="77777777" w:rsidR="00E0319A" w:rsidRPr="0081060E" w:rsidRDefault="00E0319A" w:rsidP="00E0158D">
            <w:pPr>
              <w:spacing w:after="0" w:line="240" w:lineRule="auto"/>
              <w:rPr>
                <w:rFonts w:eastAsia="Times New Roman" w:cstheme="minorHAnsi"/>
                <w:color w:val="000000"/>
                <w:kern w:val="0"/>
                <w:sz w:val="20"/>
                <w:szCs w:val="20"/>
                <w:lang w:val="en-US" w:eastAsia="it-IT"/>
                <w14:ligatures w14:val="none"/>
              </w:rPr>
            </w:pPr>
            <w:r w:rsidRPr="0081060E">
              <w:rPr>
                <w:rFonts w:cstheme="minorHAnsi"/>
                <w:sz w:val="20"/>
                <w:szCs w:val="20"/>
              </w:rPr>
              <w:t>III</w:t>
            </w:r>
          </w:p>
        </w:tc>
        <w:tc>
          <w:tcPr>
            <w:tcW w:w="1701" w:type="dxa"/>
            <w:shd w:val="clear" w:color="auto" w:fill="auto"/>
            <w:noWrap/>
            <w:vAlign w:val="center"/>
          </w:tcPr>
          <w:p w14:paraId="51EFB556" w14:textId="7431731E" w:rsidR="00E0319A" w:rsidRPr="0081060E" w:rsidRDefault="00E0319A" w:rsidP="00E0158D">
            <w:pPr>
              <w:spacing w:after="0" w:line="240" w:lineRule="auto"/>
              <w:rPr>
                <w:rFonts w:eastAsia="Times New Roman" w:cstheme="minorHAnsi"/>
                <w:color w:val="000000"/>
                <w:kern w:val="0"/>
                <w:sz w:val="20"/>
                <w:szCs w:val="20"/>
                <w:lang w:eastAsia="it-IT"/>
                <w14:ligatures w14:val="none"/>
              </w:rPr>
            </w:pPr>
            <w:r w:rsidRPr="0081060E">
              <w:rPr>
                <w:rFonts w:eastAsia="Times New Roman" w:cstheme="minorHAnsi"/>
                <w:color w:val="000000"/>
                <w:kern w:val="0"/>
                <w:sz w:val="20"/>
                <w:szCs w:val="20"/>
                <w:lang w:val="en-US" w:eastAsia="it-IT"/>
                <w14:ligatures w14:val="none"/>
              </w:rPr>
              <w:t>≥ 12</w:t>
            </w:r>
          </w:p>
        </w:tc>
        <w:tc>
          <w:tcPr>
            <w:tcW w:w="882" w:type="dxa"/>
            <w:vAlign w:val="center"/>
          </w:tcPr>
          <w:p w14:paraId="740C8EDD" w14:textId="77777777" w:rsidR="00E0319A" w:rsidRPr="001954C2" w:rsidRDefault="00E0319A" w:rsidP="00E0158D">
            <w:pPr>
              <w:spacing w:after="0" w:line="240" w:lineRule="auto"/>
              <w:rPr>
                <w:rFonts w:eastAsia="Times New Roman" w:cstheme="minorHAnsi"/>
                <w:color w:val="000000"/>
                <w:sz w:val="20"/>
                <w:szCs w:val="20"/>
                <w:lang w:val="en-US" w:eastAsia="it-IT"/>
              </w:rPr>
            </w:pPr>
            <w:r w:rsidRPr="0081060E">
              <w:rPr>
                <w:rFonts w:cstheme="minorHAnsi"/>
                <w:sz w:val="20"/>
                <w:szCs w:val="20"/>
              </w:rPr>
              <w:t>240</w:t>
            </w:r>
          </w:p>
        </w:tc>
        <w:tc>
          <w:tcPr>
            <w:tcW w:w="3402" w:type="dxa"/>
            <w:vAlign w:val="center"/>
          </w:tcPr>
          <w:p w14:paraId="20D1A056" w14:textId="77777777" w:rsidR="00E0319A" w:rsidRPr="001954C2" w:rsidRDefault="00E0319A" w:rsidP="00E0158D">
            <w:pPr>
              <w:spacing w:after="0" w:line="240" w:lineRule="auto"/>
              <w:jc w:val="both"/>
              <w:rPr>
                <w:rFonts w:eastAsia="Times New Roman" w:cstheme="minorHAnsi"/>
                <w:color w:val="000000"/>
                <w:sz w:val="20"/>
                <w:szCs w:val="20"/>
                <w:lang w:val="en-US" w:eastAsia="it-IT"/>
              </w:rPr>
            </w:pPr>
            <w:r w:rsidRPr="001954C2">
              <w:rPr>
                <w:rFonts w:eastAsia="Times New Roman" w:cstheme="minorHAnsi"/>
                <w:color w:val="000000"/>
                <w:sz w:val="20"/>
                <w:szCs w:val="20"/>
                <w:lang w:val="en-US" w:eastAsia="it-IT"/>
              </w:rPr>
              <w:t xml:space="preserve">Change compared to baseline in the score of the MG-ADL scale in participants with </w:t>
            </w:r>
            <w:proofErr w:type="spellStart"/>
            <w:r w:rsidRPr="001954C2">
              <w:rPr>
                <w:rFonts w:eastAsia="Times New Roman" w:cstheme="minorHAnsi"/>
                <w:color w:val="000000"/>
                <w:sz w:val="20"/>
                <w:szCs w:val="20"/>
                <w:lang w:val="en-US" w:eastAsia="it-IT"/>
              </w:rPr>
              <w:t>AChR</w:t>
            </w:r>
            <w:proofErr w:type="spellEnd"/>
            <w:r w:rsidRPr="001954C2">
              <w:rPr>
                <w:rFonts w:eastAsia="Times New Roman" w:cstheme="minorHAnsi"/>
                <w:color w:val="000000"/>
                <w:sz w:val="20"/>
                <w:szCs w:val="20"/>
                <w:lang w:val="en-US" w:eastAsia="it-IT"/>
              </w:rPr>
              <w:t xml:space="preserve"> antibodies (from baseline to week 24)</w:t>
            </w:r>
          </w:p>
        </w:tc>
        <w:tc>
          <w:tcPr>
            <w:tcW w:w="3460" w:type="dxa"/>
            <w:vAlign w:val="center"/>
          </w:tcPr>
          <w:p w14:paraId="2500B406" w14:textId="77777777" w:rsidR="00E0319A" w:rsidRDefault="00E0319A" w:rsidP="00E0319A">
            <w:pPr>
              <w:spacing w:after="0" w:line="240" w:lineRule="auto"/>
              <w:rPr>
                <w:rFonts w:cstheme="minorHAnsi"/>
                <w:sz w:val="20"/>
                <w:szCs w:val="20"/>
              </w:rPr>
            </w:pPr>
            <w:r>
              <w:rPr>
                <w:rFonts w:cstheme="minorHAnsi"/>
                <w:sz w:val="20"/>
                <w:szCs w:val="20"/>
                <w:lang w:val="en-US"/>
              </w:rPr>
              <w:t>Not available</w:t>
            </w:r>
          </w:p>
        </w:tc>
        <w:tc>
          <w:tcPr>
            <w:tcW w:w="1134" w:type="dxa"/>
            <w:shd w:val="clear" w:color="auto" w:fill="auto"/>
            <w:noWrap/>
            <w:vAlign w:val="center"/>
          </w:tcPr>
          <w:p w14:paraId="2707072C" w14:textId="77777777" w:rsidR="00E0319A" w:rsidRPr="0067733C" w:rsidRDefault="00E0319A" w:rsidP="00E0158D">
            <w:pPr>
              <w:spacing w:after="0" w:line="240" w:lineRule="auto"/>
              <w:jc w:val="both"/>
              <w:rPr>
                <w:rFonts w:eastAsia="Times New Roman" w:cstheme="minorHAnsi"/>
                <w:color w:val="000000"/>
                <w:sz w:val="20"/>
                <w:szCs w:val="20"/>
                <w:lang w:val="en-US" w:eastAsia="it-IT"/>
              </w:rPr>
            </w:pPr>
            <w:r>
              <w:rPr>
                <w:rFonts w:cstheme="minorHAnsi"/>
                <w:sz w:val="20"/>
                <w:szCs w:val="20"/>
              </w:rPr>
              <w:t>Recruiting</w:t>
            </w:r>
          </w:p>
        </w:tc>
      </w:tr>
      <w:tr w:rsidR="00FE3BFE" w:rsidRPr="00895694" w14:paraId="19346BCC" w14:textId="77777777" w:rsidTr="00FE3BFE">
        <w:trPr>
          <w:trHeight w:val="285"/>
        </w:trPr>
        <w:tc>
          <w:tcPr>
            <w:tcW w:w="1190" w:type="dxa"/>
            <w:vAlign w:val="center"/>
          </w:tcPr>
          <w:p w14:paraId="60DD45E5" w14:textId="77777777" w:rsidR="00E0319A" w:rsidRPr="0081060E" w:rsidRDefault="00E0319A" w:rsidP="00E0158D">
            <w:pPr>
              <w:spacing w:after="0" w:line="240" w:lineRule="auto"/>
              <w:rPr>
                <w:rFonts w:cstheme="minorHAnsi"/>
                <w:sz w:val="20"/>
                <w:szCs w:val="20"/>
              </w:rPr>
            </w:pPr>
            <w:bookmarkStart w:id="33" w:name="_Hlk139973216"/>
            <w:r w:rsidRPr="0081060E">
              <w:rPr>
                <w:rFonts w:cstheme="minorHAnsi"/>
                <w:sz w:val="20"/>
                <w:szCs w:val="20"/>
              </w:rPr>
              <w:t>Vemircopan</w:t>
            </w:r>
            <w:bookmarkEnd w:id="33"/>
          </w:p>
        </w:tc>
        <w:tc>
          <w:tcPr>
            <w:tcW w:w="2071" w:type="dxa"/>
            <w:shd w:val="clear" w:color="auto" w:fill="auto"/>
            <w:noWrap/>
            <w:vAlign w:val="center"/>
          </w:tcPr>
          <w:p w14:paraId="23CF39A3" w14:textId="77777777" w:rsidR="00E0319A" w:rsidRPr="0081060E" w:rsidRDefault="00E0319A" w:rsidP="00E0158D">
            <w:pPr>
              <w:spacing w:after="0" w:line="240" w:lineRule="auto"/>
              <w:rPr>
                <w:rFonts w:cstheme="minorHAnsi"/>
                <w:sz w:val="20"/>
                <w:szCs w:val="20"/>
              </w:rPr>
            </w:pPr>
            <w:proofErr w:type="spellStart"/>
            <w:r w:rsidRPr="0056605A">
              <w:rPr>
                <w:rFonts w:cstheme="minorHAnsi"/>
                <w:sz w:val="20"/>
                <w:szCs w:val="20"/>
              </w:rPr>
              <w:t>Factor</w:t>
            </w:r>
            <w:proofErr w:type="spellEnd"/>
            <w:r w:rsidRPr="0056605A">
              <w:rPr>
                <w:rFonts w:cstheme="minorHAnsi"/>
                <w:sz w:val="20"/>
                <w:szCs w:val="20"/>
              </w:rPr>
              <w:t xml:space="preserve"> D </w:t>
            </w:r>
            <w:proofErr w:type="spellStart"/>
            <w:r w:rsidRPr="0056605A">
              <w:rPr>
                <w:rFonts w:cstheme="minorHAnsi"/>
                <w:sz w:val="20"/>
                <w:szCs w:val="20"/>
              </w:rPr>
              <w:t>protease</w:t>
            </w:r>
            <w:proofErr w:type="spellEnd"/>
            <w:r w:rsidRPr="0056605A">
              <w:rPr>
                <w:rFonts w:cstheme="minorHAnsi"/>
                <w:sz w:val="20"/>
                <w:szCs w:val="20"/>
              </w:rPr>
              <w:t xml:space="preserve"> </w:t>
            </w:r>
            <w:proofErr w:type="spellStart"/>
            <w:r w:rsidRPr="0056605A">
              <w:rPr>
                <w:rFonts w:cstheme="minorHAnsi"/>
                <w:sz w:val="20"/>
                <w:szCs w:val="20"/>
              </w:rPr>
              <w:t>inhibitor</w:t>
            </w:r>
            <w:proofErr w:type="spellEnd"/>
          </w:p>
        </w:tc>
        <w:tc>
          <w:tcPr>
            <w:tcW w:w="1679" w:type="dxa"/>
            <w:vAlign w:val="center"/>
          </w:tcPr>
          <w:p w14:paraId="5FE2D4B7" w14:textId="0D8CC40F" w:rsidR="00E0319A" w:rsidRPr="0081060E" w:rsidRDefault="00E0319A" w:rsidP="00E0158D">
            <w:pPr>
              <w:spacing w:after="0" w:line="240" w:lineRule="auto"/>
              <w:rPr>
                <w:rFonts w:cstheme="minorHAnsi"/>
                <w:color w:val="000000"/>
                <w:sz w:val="20"/>
                <w:szCs w:val="20"/>
              </w:rPr>
            </w:pPr>
            <w:r w:rsidRPr="0081060E">
              <w:rPr>
                <w:rFonts w:cstheme="minorHAnsi"/>
                <w:color w:val="000000"/>
                <w:sz w:val="20"/>
                <w:szCs w:val="20"/>
              </w:rPr>
              <w:t>NCT05218096</w:t>
            </w:r>
            <w:r w:rsidR="00ED37F9">
              <w:rPr>
                <w:rFonts w:cstheme="minorHAnsi"/>
                <w:color w:val="000000"/>
                <w:sz w:val="20"/>
                <w:szCs w:val="20"/>
              </w:rPr>
              <w:t xml:space="preserve"> [81]</w:t>
            </w:r>
          </w:p>
        </w:tc>
        <w:tc>
          <w:tcPr>
            <w:tcW w:w="641" w:type="dxa"/>
            <w:vAlign w:val="center"/>
          </w:tcPr>
          <w:p w14:paraId="1C075AA8" w14:textId="77777777" w:rsidR="00E0319A" w:rsidRPr="0081060E" w:rsidRDefault="00E0319A" w:rsidP="00E0158D">
            <w:pPr>
              <w:spacing w:after="0" w:line="240" w:lineRule="auto"/>
              <w:rPr>
                <w:rFonts w:eastAsia="Times New Roman" w:cstheme="minorHAnsi"/>
                <w:color w:val="000000"/>
                <w:kern w:val="0"/>
                <w:sz w:val="20"/>
                <w:szCs w:val="20"/>
                <w:lang w:val="en-US" w:eastAsia="it-IT"/>
                <w14:ligatures w14:val="none"/>
              </w:rPr>
            </w:pPr>
            <w:r w:rsidRPr="0081060E">
              <w:rPr>
                <w:rFonts w:cstheme="minorHAnsi"/>
                <w:sz w:val="20"/>
                <w:szCs w:val="20"/>
              </w:rPr>
              <w:t>II</w:t>
            </w:r>
          </w:p>
        </w:tc>
        <w:tc>
          <w:tcPr>
            <w:tcW w:w="1701" w:type="dxa"/>
            <w:shd w:val="clear" w:color="auto" w:fill="auto"/>
            <w:noWrap/>
            <w:vAlign w:val="center"/>
          </w:tcPr>
          <w:p w14:paraId="612DA144" w14:textId="12D5070F" w:rsidR="00E0319A" w:rsidRPr="0081060E" w:rsidRDefault="00E0319A" w:rsidP="00E0158D">
            <w:pPr>
              <w:spacing w:after="0" w:line="240" w:lineRule="auto"/>
              <w:rPr>
                <w:rFonts w:eastAsia="Times New Roman" w:cstheme="minorHAnsi"/>
                <w:color w:val="000000"/>
                <w:kern w:val="0"/>
                <w:sz w:val="20"/>
                <w:szCs w:val="20"/>
                <w:lang w:eastAsia="it-IT"/>
                <w14:ligatures w14:val="none"/>
              </w:rPr>
            </w:pPr>
            <w:r w:rsidRPr="0081060E">
              <w:rPr>
                <w:rFonts w:eastAsia="Times New Roman" w:cstheme="minorHAnsi"/>
                <w:color w:val="000000"/>
                <w:kern w:val="0"/>
                <w:sz w:val="20"/>
                <w:szCs w:val="20"/>
                <w:lang w:val="en-US" w:eastAsia="it-IT"/>
                <w14:ligatures w14:val="none"/>
              </w:rPr>
              <w:t>≥ 18</w:t>
            </w:r>
          </w:p>
        </w:tc>
        <w:tc>
          <w:tcPr>
            <w:tcW w:w="882" w:type="dxa"/>
            <w:vAlign w:val="center"/>
          </w:tcPr>
          <w:p w14:paraId="2E909D6C" w14:textId="77777777" w:rsidR="00E0319A" w:rsidRPr="001954C2" w:rsidRDefault="00E0319A" w:rsidP="00E0158D">
            <w:pPr>
              <w:spacing w:after="0" w:line="240" w:lineRule="auto"/>
              <w:rPr>
                <w:rFonts w:eastAsia="Times New Roman" w:cstheme="minorHAnsi"/>
                <w:color w:val="000000"/>
                <w:sz w:val="20"/>
                <w:szCs w:val="20"/>
                <w:lang w:val="en-US" w:eastAsia="it-IT"/>
              </w:rPr>
            </w:pPr>
            <w:r w:rsidRPr="0081060E">
              <w:rPr>
                <w:rFonts w:cstheme="minorHAnsi"/>
                <w:sz w:val="20"/>
                <w:szCs w:val="20"/>
              </w:rPr>
              <w:t>70</w:t>
            </w:r>
          </w:p>
        </w:tc>
        <w:tc>
          <w:tcPr>
            <w:tcW w:w="3402" w:type="dxa"/>
            <w:vAlign w:val="center"/>
          </w:tcPr>
          <w:p w14:paraId="7CF40B67" w14:textId="77777777" w:rsidR="00E0319A" w:rsidRPr="001954C2" w:rsidRDefault="00E0319A" w:rsidP="00E0158D">
            <w:pPr>
              <w:spacing w:after="0" w:line="240" w:lineRule="auto"/>
              <w:jc w:val="both"/>
              <w:rPr>
                <w:rFonts w:eastAsia="Times New Roman" w:cstheme="minorHAnsi"/>
                <w:color w:val="000000"/>
                <w:sz w:val="20"/>
                <w:szCs w:val="20"/>
                <w:lang w:val="en-US" w:eastAsia="it-IT"/>
              </w:rPr>
            </w:pPr>
            <w:r w:rsidRPr="001954C2">
              <w:rPr>
                <w:rFonts w:eastAsia="Times New Roman" w:cstheme="minorHAnsi"/>
                <w:color w:val="000000"/>
                <w:sz w:val="20"/>
                <w:szCs w:val="20"/>
                <w:lang w:val="en-US" w:eastAsia="it-IT"/>
              </w:rPr>
              <w:t>Proportion of participants with a reduction of ≥ 2 points in the total score of the MG-ADL scale for a duration of 4 consecutive weeks during the first 8 weeks and who did not receive rescue therapy</w:t>
            </w:r>
          </w:p>
        </w:tc>
        <w:tc>
          <w:tcPr>
            <w:tcW w:w="3460" w:type="dxa"/>
            <w:vAlign w:val="center"/>
          </w:tcPr>
          <w:p w14:paraId="39666016" w14:textId="77777777" w:rsidR="00E0319A" w:rsidRDefault="00E0319A" w:rsidP="00E0319A">
            <w:pPr>
              <w:spacing w:after="0" w:line="240" w:lineRule="auto"/>
              <w:rPr>
                <w:rFonts w:cstheme="minorHAnsi"/>
                <w:sz w:val="20"/>
                <w:szCs w:val="20"/>
              </w:rPr>
            </w:pPr>
            <w:r>
              <w:rPr>
                <w:rFonts w:cstheme="minorHAnsi"/>
                <w:sz w:val="20"/>
                <w:szCs w:val="20"/>
                <w:lang w:val="en-US"/>
              </w:rPr>
              <w:t>Not available</w:t>
            </w:r>
          </w:p>
        </w:tc>
        <w:tc>
          <w:tcPr>
            <w:tcW w:w="1134" w:type="dxa"/>
            <w:shd w:val="clear" w:color="auto" w:fill="auto"/>
            <w:noWrap/>
            <w:vAlign w:val="center"/>
          </w:tcPr>
          <w:p w14:paraId="2780F499" w14:textId="77777777" w:rsidR="00E0319A" w:rsidRPr="0067733C" w:rsidRDefault="00E0319A" w:rsidP="00E0158D">
            <w:pPr>
              <w:spacing w:after="0" w:line="240" w:lineRule="auto"/>
              <w:jc w:val="both"/>
              <w:rPr>
                <w:rFonts w:eastAsia="Times New Roman" w:cstheme="minorHAnsi"/>
                <w:color w:val="000000"/>
                <w:sz w:val="20"/>
                <w:szCs w:val="20"/>
                <w:lang w:val="en-US" w:eastAsia="it-IT"/>
              </w:rPr>
            </w:pPr>
            <w:r>
              <w:rPr>
                <w:rFonts w:cstheme="minorHAnsi"/>
                <w:sz w:val="20"/>
                <w:szCs w:val="20"/>
              </w:rPr>
              <w:t>Recruiting</w:t>
            </w:r>
          </w:p>
        </w:tc>
      </w:tr>
      <w:tr w:rsidR="00FE3BFE" w:rsidRPr="00895694" w14:paraId="2382050F" w14:textId="77777777" w:rsidTr="00FE3BFE">
        <w:trPr>
          <w:trHeight w:val="285"/>
        </w:trPr>
        <w:tc>
          <w:tcPr>
            <w:tcW w:w="1190" w:type="dxa"/>
            <w:vAlign w:val="center"/>
          </w:tcPr>
          <w:p w14:paraId="0B183F43" w14:textId="77777777" w:rsidR="00E0319A" w:rsidRPr="0081060E" w:rsidRDefault="00E0319A" w:rsidP="00E0158D">
            <w:pPr>
              <w:spacing w:after="0" w:line="240" w:lineRule="auto"/>
              <w:rPr>
                <w:rFonts w:cstheme="minorHAnsi"/>
                <w:sz w:val="20"/>
                <w:szCs w:val="20"/>
              </w:rPr>
            </w:pPr>
            <w:proofErr w:type="spellStart"/>
            <w:r>
              <w:rPr>
                <w:rFonts w:cstheme="minorHAnsi"/>
                <w:sz w:val="20"/>
                <w:szCs w:val="20"/>
              </w:rPr>
              <w:t>P</w:t>
            </w:r>
            <w:r w:rsidRPr="005978C5">
              <w:rPr>
                <w:rFonts w:cstheme="minorHAnsi"/>
                <w:sz w:val="20"/>
                <w:szCs w:val="20"/>
              </w:rPr>
              <w:t>ozelimab</w:t>
            </w:r>
            <w:proofErr w:type="spellEnd"/>
            <w:r w:rsidRPr="005978C5">
              <w:rPr>
                <w:rFonts w:cstheme="minorHAnsi"/>
                <w:sz w:val="20"/>
                <w:szCs w:val="20"/>
              </w:rPr>
              <w:t xml:space="preserve"> + </w:t>
            </w:r>
            <w:proofErr w:type="spellStart"/>
            <w:r w:rsidRPr="005978C5">
              <w:rPr>
                <w:rFonts w:cstheme="minorHAnsi"/>
                <w:sz w:val="20"/>
                <w:szCs w:val="20"/>
              </w:rPr>
              <w:t>cemdisiran</w:t>
            </w:r>
            <w:proofErr w:type="spellEnd"/>
          </w:p>
        </w:tc>
        <w:tc>
          <w:tcPr>
            <w:tcW w:w="2071" w:type="dxa"/>
            <w:shd w:val="clear" w:color="auto" w:fill="auto"/>
            <w:noWrap/>
            <w:vAlign w:val="center"/>
          </w:tcPr>
          <w:p w14:paraId="3C3FB220" w14:textId="77777777" w:rsidR="00E0319A" w:rsidRPr="00E0319A" w:rsidRDefault="00E0319A" w:rsidP="00E0158D">
            <w:pPr>
              <w:spacing w:after="0" w:line="240" w:lineRule="auto"/>
              <w:rPr>
                <w:rFonts w:cstheme="minorHAnsi"/>
                <w:sz w:val="20"/>
                <w:szCs w:val="20"/>
                <w:lang w:val="en-US"/>
              </w:rPr>
            </w:pPr>
            <w:bookmarkStart w:id="34" w:name="_Hlk151639204"/>
            <w:r w:rsidRPr="0056605A">
              <w:rPr>
                <w:rFonts w:cstheme="minorHAnsi"/>
                <w:sz w:val="20"/>
                <w:szCs w:val="20"/>
                <w:lang w:val="en-US"/>
              </w:rPr>
              <w:t>Monoclonal antibody inhibitor of complement protein C5</w:t>
            </w:r>
            <w:r>
              <w:rPr>
                <w:rFonts w:cstheme="minorHAnsi"/>
                <w:sz w:val="20"/>
                <w:szCs w:val="20"/>
                <w:lang w:val="en-US"/>
              </w:rPr>
              <w:t xml:space="preserve"> + complement C5 protein liver production inhibitor</w:t>
            </w:r>
            <w:bookmarkEnd w:id="34"/>
          </w:p>
        </w:tc>
        <w:tc>
          <w:tcPr>
            <w:tcW w:w="1679" w:type="dxa"/>
            <w:vAlign w:val="center"/>
          </w:tcPr>
          <w:p w14:paraId="72A145B8" w14:textId="41CFC3AA" w:rsidR="00E0319A" w:rsidRPr="00E0319A" w:rsidRDefault="00E0319A" w:rsidP="00E0158D">
            <w:pPr>
              <w:spacing w:after="0" w:line="240" w:lineRule="auto"/>
              <w:rPr>
                <w:rFonts w:cstheme="minorHAnsi"/>
                <w:color w:val="000000"/>
                <w:sz w:val="20"/>
                <w:szCs w:val="20"/>
                <w:lang w:val="en-US"/>
              </w:rPr>
            </w:pPr>
            <w:r w:rsidRPr="005978C5">
              <w:rPr>
                <w:rFonts w:cstheme="minorHAnsi"/>
                <w:color w:val="000000"/>
                <w:sz w:val="20"/>
                <w:szCs w:val="20"/>
                <w:lang w:val="en-US"/>
              </w:rPr>
              <w:t>NCT05070858</w:t>
            </w:r>
            <w:r w:rsidR="00ED37F9">
              <w:rPr>
                <w:rFonts w:cstheme="minorHAnsi"/>
                <w:color w:val="000000"/>
                <w:sz w:val="20"/>
                <w:szCs w:val="20"/>
                <w:lang w:val="en-US"/>
              </w:rPr>
              <w:t xml:space="preserve"> [82]</w:t>
            </w:r>
          </w:p>
        </w:tc>
        <w:tc>
          <w:tcPr>
            <w:tcW w:w="641" w:type="dxa"/>
            <w:vAlign w:val="center"/>
          </w:tcPr>
          <w:p w14:paraId="2FFCAAB7" w14:textId="77777777" w:rsidR="00E0319A" w:rsidRPr="0081060E" w:rsidRDefault="00E0319A" w:rsidP="00E0158D">
            <w:pPr>
              <w:spacing w:after="0" w:line="240" w:lineRule="auto"/>
              <w:rPr>
                <w:rFonts w:eastAsia="Times New Roman" w:cstheme="minorHAnsi"/>
                <w:color w:val="000000"/>
                <w:kern w:val="0"/>
                <w:sz w:val="20"/>
                <w:szCs w:val="20"/>
                <w:lang w:val="en-US" w:eastAsia="it-IT"/>
                <w14:ligatures w14:val="none"/>
              </w:rPr>
            </w:pPr>
            <w:r>
              <w:rPr>
                <w:rFonts w:eastAsia="Times New Roman" w:cstheme="minorHAnsi"/>
                <w:color w:val="000000"/>
                <w:kern w:val="0"/>
                <w:sz w:val="20"/>
                <w:szCs w:val="20"/>
                <w:lang w:val="en-US" w:eastAsia="it-IT"/>
                <w14:ligatures w14:val="none"/>
              </w:rPr>
              <w:t>III</w:t>
            </w:r>
          </w:p>
        </w:tc>
        <w:tc>
          <w:tcPr>
            <w:tcW w:w="1701" w:type="dxa"/>
            <w:shd w:val="clear" w:color="auto" w:fill="auto"/>
            <w:noWrap/>
            <w:vAlign w:val="center"/>
          </w:tcPr>
          <w:p w14:paraId="0B2E0686" w14:textId="77777777" w:rsidR="00E0319A" w:rsidRPr="0081060E" w:rsidRDefault="00E0319A" w:rsidP="00E0158D">
            <w:pPr>
              <w:spacing w:after="0" w:line="240" w:lineRule="auto"/>
              <w:rPr>
                <w:rFonts w:eastAsia="Times New Roman" w:cstheme="minorHAnsi"/>
                <w:color w:val="000000"/>
                <w:kern w:val="0"/>
                <w:sz w:val="20"/>
                <w:szCs w:val="20"/>
                <w:lang w:val="en-US" w:eastAsia="it-IT"/>
                <w14:ligatures w14:val="none"/>
              </w:rPr>
            </w:pPr>
            <w:r w:rsidRPr="005978C5">
              <w:rPr>
                <w:rFonts w:eastAsia="Times New Roman" w:cstheme="minorHAnsi"/>
                <w:color w:val="000000"/>
                <w:kern w:val="0"/>
                <w:sz w:val="20"/>
                <w:szCs w:val="20"/>
                <w:lang w:val="en-US" w:eastAsia="it-IT"/>
                <w14:ligatures w14:val="none"/>
              </w:rPr>
              <w:t>≥18</w:t>
            </w:r>
          </w:p>
        </w:tc>
        <w:tc>
          <w:tcPr>
            <w:tcW w:w="882" w:type="dxa"/>
            <w:vAlign w:val="center"/>
          </w:tcPr>
          <w:p w14:paraId="7FBD0690" w14:textId="77777777" w:rsidR="00E0319A" w:rsidRPr="00E0319A" w:rsidRDefault="00E0319A" w:rsidP="00E0158D">
            <w:pPr>
              <w:spacing w:after="0" w:line="240" w:lineRule="auto"/>
              <w:rPr>
                <w:rFonts w:cstheme="minorHAnsi"/>
                <w:sz w:val="20"/>
                <w:szCs w:val="20"/>
                <w:lang w:val="en-US"/>
              </w:rPr>
            </w:pPr>
            <w:r>
              <w:rPr>
                <w:rFonts w:cstheme="minorHAnsi"/>
                <w:sz w:val="20"/>
                <w:szCs w:val="20"/>
                <w:lang w:val="en-US"/>
              </w:rPr>
              <w:t>235</w:t>
            </w:r>
          </w:p>
        </w:tc>
        <w:tc>
          <w:tcPr>
            <w:tcW w:w="3402" w:type="dxa"/>
            <w:vAlign w:val="center"/>
          </w:tcPr>
          <w:p w14:paraId="11B1B1E2" w14:textId="77777777" w:rsidR="00E0319A" w:rsidRPr="001954C2" w:rsidRDefault="00E0319A" w:rsidP="00E0158D">
            <w:pPr>
              <w:spacing w:after="0" w:line="240" w:lineRule="auto"/>
              <w:jc w:val="both"/>
              <w:rPr>
                <w:rFonts w:eastAsia="Times New Roman" w:cstheme="minorHAnsi"/>
                <w:color w:val="000000"/>
                <w:sz w:val="20"/>
                <w:szCs w:val="20"/>
                <w:lang w:val="en-US" w:eastAsia="it-IT"/>
              </w:rPr>
            </w:pPr>
            <w:r w:rsidRPr="005978C5">
              <w:rPr>
                <w:rFonts w:eastAsia="Times New Roman" w:cstheme="minorHAnsi"/>
                <w:color w:val="000000"/>
                <w:sz w:val="20"/>
                <w:szCs w:val="20"/>
                <w:lang w:val="en-US" w:eastAsia="it-IT"/>
              </w:rPr>
              <w:t>Change in MG-ADL</w:t>
            </w:r>
            <w:r>
              <w:rPr>
                <w:rFonts w:eastAsia="Times New Roman" w:cstheme="minorHAnsi"/>
                <w:color w:val="000000"/>
                <w:sz w:val="20"/>
                <w:szCs w:val="20"/>
                <w:lang w:val="en-US" w:eastAsia="it-IT"/>
              </w:rPr>
              <w:t xml:space="preserve"> f</w:t>
            </w:r>
            <w:r w:rsidRPr="005978C5">
              <w:rPr>
                <w:rFonts w:eastAsia="Times New Roman" w:cstheme="minorHAnsi"/>
                <w:color w:val="000000"/>
                <w:sz w:val="20"/>
                <w:szCs w:val="20"/>
                <w:lang w:val="en-US" w:eastAsia="it-IT"/>
              </w:rPr>
              <w:t>rom baseline to week 24</w:t>
            </w:r>
          </w:p>
        </w:tc>
        <w:tc>
          <w:tcPr>
            <w:tcW w:w="3460" w:type="dxa"/>
            <w:vAlign w:val="center"/>
          </w:tcPr>
          <w:p w14:paraId="6901F068" w14:textId="77777777" w:rsidR="00E0319A" w:rsidRPr="00E0319A" w:rsidRDefault="00E0319A" w:rsidP="00E0319A">
            <w:pPr>
              <w:spacing w:after="0" w:line="240" w:lineRule="auto"/>
              <w:rPr>
                <w:rFonts w:cstheme="minorHAnsi"/>
                <w:sz w:val="20"/>
                <w:szCs w:val="20"/>
                <w:lang w:val="en-US"/>
              </w:rPr>
            </w:pPr>
            <w:r>
              <w:rPr>
                <w:rFonts w:cstheme="minorHAnsi"/>
                <w:sz w:val="20"/>
                <w:szCs w:val="20"/>
                <w:lang w:val="en-US"/>
              </w:rPr>
              <w:t>Not available</w:t>
            </w:r>
          </w:p>
        </w:tc>
        <w:tc>
          <w:tcPr>
            <w:tcW w:w="1134" w:type="dxa"/>
            <w:shd w:val="clear" w:color="auto" w:fill="auto"/>
            <w:noWrap/>
            <w:vAlign w:val="center"/>
          </w:tcPr>
          <w:p w14:paraId="0A70C6A9" w14:textId="77777777" w:rsidR="00E0319A" w:rsidRPr="00E0319A" w:rsidRDefault="00E0319A" w:rsidP="00E0319A">
            <w:pPr>
              <w:spacing w:after="0" w:line="240" w:lineRule="auto"/>
              <w:rPr>
                <w:rFonts w:cstheme="minorHAnsi"/>
                <w:sz w:val="20"/>
                <w:szCs w:val="20"/>
                <w:lang w:val="en-US"/>
              </w:rPr>
            </w:pPr>
            <w:r>
              <w:rPr>
                <w:rFonts w:cstheme="minorHAnsi"/>
                <w:sz w:val="20"/>
                <w:szCs w:val="20"/>
                <w:lang w:val="en-US"/>
              </w:rPr>
              <w:t>Recruiting</w:t>
            </w:r>
          </w:p>
        </w:tc>
      </w:tr>
    </w:tbl>
    <w:bookmarkEnd w:id="24"/>
    <w:p w14:paraId="4E08C4C0" w14:textId="77777777" w:rsidR="00E0319A" w:rsidRDefault="00E0319A" w:rsidP="00E0319A">
      <w:pPr>
        <w:spacing w:after="0"/>
        <w:jc w:val="both"/>
        <w:rPr>
          <w:sz w:val="20"/>
          <w:szCs w:val="20"/>
          <w:lang w:val="en-US"/>
        </w:rPr>
      </w:pPr>
      <w:r w:rsidRPr="0067733C">
        <w:rPr>
          <w:b/>
          <w:bCs/>
          <w:sz w:val="20"/>
          <w:szCs w:val="20"/>
          <w:lang w:val="en-US"/>
        </w:rPr>
        <w:t xml:space="preserve">Abbreviations: </w:t>
      </w:r>
      <w:proofErr w:type="spellStart"/>
      <w:r w:rsidRPr="0067733C">
        <w:rPr>
          <w:sz w:val="20"/>
          <w:szCs w:val="20"/>
          <w:lang w:val="en-US"/>
        </w:rPr>
        <w:t>AChR</w:t>
      </w:r>
      <w:proofErr w:type="spellEnd"/>
      <w:r w:rsidRPr="0067733C">
        <w:rPr>
          <w:sz w:val="20"/>
          <w:szCs w:val="20"/>
          <w:lang w:val="en-US"/>
        </w:rPr>
        <w:t xml:space="preserve"> = Acetylcholine Receptor; IgG = Immunoglobulin G; MG-ADL = Myasthenia Gravis-Activities of Daily Living; </w:t>
      </w:r>
      <w:proofErr w:type="spellStart"/>
      <w:r w:rsidRPr="0067733C">
        <w:rPr>
          <w:sz w:val="20"/>
          <w:szCs w:val="20"/>
          <w:lang w:val="en-US"/>
        </w:rPr>
        <w:t>MuSK</w:t>
      </w:r>
      <w:proofErr w:type="spellEnd"/>
      <w:r w:rsidRPr="0067733C">
        <w:rPr>
          <w:sz w:val="20"/>
          <w:szCs w:val="20"/>
          <w:lang w:val="en-US"/>
        </w:rPr>
        <w:t xml:space="preserve"> = Muscle-Specific Tyrosine Kinase; NCT = National Clinical Trial number; QMG = Quantitative Myasthenia Gravis Scoring System; RCT = Randomized Controlled Trial.</w:t>
      </w:r>
    </w:p>
    <w:p w14:paraId="4170CB59" w14:textId="77777777" w:rsidR="00E0319A" w:rsidRPr="00B8534D" w:rsidRDefault="00E0319A" w:rsidP="00E0319A">
      <w:pPr>
        <w:spacing w:after="0"/>
        <w:jc w:val="both"/>
        <w:rPr>
          <w:sz w:val="20"/>
          <w:szCs w:val="20"/>
          <w:lang w:val="en-US"/>
        </w:rPr>
      </w:pPr>
      <w:r w:rsidRPr="00B8534D">
        <w:rPr>
          <w:b/>
          <w:bCs/>
          <w:sz w:val="20"/>
          <w:szCs w:val="20"/>
          <w:vertAlign w:val="superscript"/>
          <w:lang w:val="en-US"/>
        </w:rPr>
        <w:t>#</w:t>
      </w:r>
      <w:r>
        <w:rPr>
          <w:sz w:val="20"/>
          <w:szCs w:val="20"/>
          <w:lang w:val="en-US"/>
        </w:rPr>
        <w:t>The number of patients analyzed for the primary outcome</w:t>
      </w:r>
      <w:r w:rsidRPr="00B8534D">
        <w:rPr>
          <w:sz w:val="20"/>
          <w:szCs w:val="20"/>
          <w:lang w:val="en-US"/>
        </w:rPr>
        <w:t xml:space="preserve"> was reported. </w:t>
      </w:r>
      <w:r>
        <w:rPr>
          <w:sz w:val="20"/>
          <w:szCs w:val="20"/>
          <w:lang w:val="en-US"/>
        </w:rPr>
        <w:t xml:space="preserve">For studies for which results were not available, the estimated enrollment was reported. </w:t>
      </w:r>
    </w:p>
    <w:p w14:paraId="1F35E7C1" w14:textId="77777777" w:rsidR="00E0319A" w:rsidRPr="0067733C" w:rsidRDefault="00E0319A" w:rsidP="00E0319A">
      <w:pPr>
        <w:jc w:val="both"/>
        <w:rPr>
          <w:b/>
          <w:bCs/>
          <w:sz w:val="20"/>
          <w:szCs w:val="20"/>
          <w:lang w:val="en-US"/>
        </w:rPr>
      </w:pPr>
      <w:r>
        <w:rPr>
          <w:b/>
          <w:bCs/>
          <w:lang w:val="en-US"/>
        </w:rPr>
        <w:t>*</w:t>
      </w:r>
      <w:r w:rsidRPr="00B8534D">
        <w:rPr>
          <w:rFonts w:eastAsia="Times New Roman" w:cstheme="minorHAnsi"/>
          <w:color w:val="000000"/>
          <w:sz w:val="20"/>
          <w:szCs w:val="20"/>
          <w:lang w:val="en-US" w:eastAsia="it-IT"/>
        </w:rPr>
        <w:t xml:space="preserve"> Preliminary</w:t>
      </w:r>
      <w:r>
        <w:rPr>
          <w:rFonts w:eastAsia="Times New Roman" w:cstheme="minorHAnsi"/>
          <w:color w:val="000000"/>
          <w:sz w:val="20"/>
          <w:szCs w:val="20"/>
          <w:lang w:val="en-US" w:eastAsia="it-IT"/>
        </w:rPr>
        <w:t xml:space="preserve"> results for o</w:t>
      </w:r>
      <w:r w:rsidRPr="00B8534D">
        <w:rPr>
          <w:rFonts w:eastAsia="Times New Roman" w:cstheme="minorHAnsi"/>
          <w:color w:val="000000"/>
          <w:sz w:val="20"/>
          <w:szCs w:val="20"/>
          <w:lang w:val="en-US" w:eastAsia="it-IT"/>
        </w:rPr>
        <w:t>ngoing</w:t>
      </w:r>
      <w:r>
        <w:rPr>
          <w:rFonts w:eastAsia="Times New Roman" w:cstheme="minorHAnsi"/>
          <w:color w:val="000000"/>
          <w:sz w:val="20"/>
          <w:szCs w:val="20"/>
          <w:lang w:val="en-US" w:eastAsia="it-IT"/>
        </w:rPr>
        <w:t xml:space="preserve"> studies were also reported.</w:t>
      </w:r>
    </w:p>
    <w:p w14:paraId="7208A975" w14:textId="77777777" w:rsidR="00E0319A" w:rsidRPr="0067733C" w:rsidRDefault="00E0319A" w:rsidP="00E0319A">
      <w:pPr>
        <w:rPr>
          <w:sz w:val="20"/>
          <w:szCs w:val="20"/>
          <w:lang w:val="en-US"/>
        </w:rPr>
      </w:pPr>
      <w:r w:rsidRPr="0067733C">
        <w:rPr>
          <w:sz w:val="20"/>
          <w:szCs w:val="20"/>
          <w:lang w:val="en-US"/>
        </w:rPr>
        <w:br w:type="page"/>
      </w:r>
    </w:p>
    <w:p w14:paraId="5159DF3F" w14:textId="77777777" w:rsidR="00E0319A" w:rsidRPr="0067733C" w:rsidRDefault="00E0319A" w:rsidP="00E0319A">
      <w:pPr>
        <w:jc w:val="both"/>
        <w:rPr>
          <w:sz w:val="20"/>
          <w:szCs w:val="20"/>
          <w:lang w:val="en-US"/>
        </w:rPr>
        <w:sectPr w:rsidR="00E0319A" w:rsidRPr="0067733C" w:rsidSect="002E69F3">
          <w:pgSz w:w="16838" w:h="11906" w:orient="landscape"/>
          <w:pgMar w:top="1134" w:right="1417" w:bottom="1134" w:left="1134" w:header="708" w:footer="708" w:gutter="0"/>
          <w:cols w:space="708"/>
          <w:docGrid w:linePitch="360"/>
        </w:sectPr>
      </w:pPr>
    </w:p>
    <w:p w14:paraId="7FD64388" w14:textId="77777777" w:rsidR="00E0319A" w:rsidRPr="00197DB4" w:rsidRDefault="00E0319A" w:rsidP="00E0319A">
      <w:pPr>
        <w:jc w:val="both"/>
        <w:rPr>
          <w:b/>
          <w:bCs/>
          <w:lang w:val="en-US"/>
        </w:rPr>
      </w:pPr>
      <w:bookmarkStart w:id="35" w:name="_Hlk145587789"/>
      <w:r w:rsidRPr="00197DB4">
        <w:rPr>
          <w:b/>
          <w:bCs/>
          <w:lang w:val="en-US"/>
        </w:rPr>
        <w:lastRenderedPageBreak/>
        <w:t>References</w:t>
      </w:r>
    </w:p>
    <w:bookmarkEnd w:id="0"/>
    <w:bookmarkEnd w:id="35"/>
    <w:p w14:paraId="0AAF30D6"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Carr AS, Cardwell CR, McCarron PO, McConville J. A systematic review of population-based epidemiological studies in Myasthenia Gravis. BMC Neurology. </w:t>
      </w:r>
      <w:proofErr w:type="gramStart"/>
      <w:r w:rsidRPr="00C81BA0">
        <w:rPr>
          <w:lang w:val="en-US"/>
        </w:rPr>
        <w:t>2010;10:46</w:t>
      </w:r>
      <w:proofErr w:type="gramEnd"/>
      <w:r w:rsidRPr="00C81BA0">
        <w:rPr>
          <w:lang w:val="en-US"/>
        </w:rPr>
        <w:t>. doi:10.1186/1471-2377-10-46.</w:t>
      </w:r>
    </w:p>
    <w:p w14:paraId="7DF12C5F"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Yi JS, Guptill JT, Stathopoulos P, Nowak RJ, O'Connor KC. B cells in the pathophysiology of myasthenia gravis. Muscle Nerve. 2018;57(2):172-184. doi:10.1002/mus.25973.</w:t>
      </w:r>
    </w:p>
    <w:p w14:paraId="28404647" w14:textId="77777777" w:rsidR="00307C0F" w:rsidRPr="00C81BA0" w:rsidRDefault="00307C0F" w:rsidP="00307C0F">
      <w:pPr>
        <w:numPr>
          <w:ilvl w:val="0"/>
          <w:numId w:val="8"/>
        </w:numPr>
        <w:autoSpaceDE w:val="0"/>
        <w:autoSpaceDN w:val="0"/>
        <w:adjustRightInd w:val="0"/>
        <w:spacing w:line="276" w:lineRule="auto"/>
        <w:jc w:val="both"/>
        <w:rPr>
          <w:lang w:val="en-US"/>
        </w:rPr>
      </w:pPr>
      <w:proofErr w:type="spellStart"/>
      <w:r w:rsidRPr="00C81BA0">
        <w:rPr>
          <w:lang w:val="en-US"/>
        </w:rPr>
        <w:t>Gilhus</w:t>
      </w:r>
      <w:proofErr w:type="spellEnd"/>
      <w:r w:rsidRPr="00C81BA0">
        <w:rPr>
          <w:lang w:val="en-US"/>
        </w:rPr>
        <w:t xml:space="preserve"> NE. Myasthenia Gravis. N Engl J Med. 2016;375(26):2570-2581. doi:10.1056/NEJMra1602678.</w:t>
      </w:r>
    </w:p>
    <w:p w14:paraId="44D4DEBF" w14:textId="77777777" w:rsidR="00307C0F" w:rsidRDefault="00307C0F" w:rsidP="00307C0F">
      <w:pPr>
        <w:numPr>
          <w:ilvl w:val="0"/>
          <w:numId w:val="8"/>
        </w:numPr>
        <w:autoSpaceDE w:val="0"/>
        <w:autoSpaceDN w:val="0"/>
        <w:adjustRightInd w:val="0"/>
        <w:spacing w:line="276" w:lineRule="auto"/>
        <w:jc w:val="both"/>
        <w:rPr>
          <w:lang w:val="en-US"/>
        </w:rPr>
      </w:pPr>
      <w:r w:rsidRPr="00C81BA0">
        <w:rPr>
          <w:lang w:val="nl-NL"/>
        </w:rPr>
        <w:t xml:space="preserve">Huijbers MG, Lipka AF, Plomp JJ, et al. </w:t>
      </w:r>
      <w:r w:rsidRPr="00C81BA0">
        <w:rPr>
          <w:lang w:val="en-US"/>
        </w:rPr>
        <w:t>Pathogenic immune mechanisms at the neuromuscular synapse: the role of specific antibody-binding epitopes in myasthenia gravis. J Intern Med. 2014;275(1):12-26. doi:10.1111/joim.12163</w:t>
      </w:r>
    </w:p>
    <w:p w14:paraId="35720DC5"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Binks S, Vincent A, Palace J. Myasthenia gravis: a clinical-immunological update. J Neurol. 2016;263(4):826-834. doi:10.1007/s00415-015-7963-5.</w:t>
      </w:r>
    </w:p>
    <w:p w14:paraId="738703DF" w14:textId="77777777" w:rsidR="00307C0F"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Lazaridis K, </w:t>
      </w:r>
      <w:proofErr w:type="spellStart"/>
      <w:r w:rsidRPr="00C81BA0">
        <w:rPr>
          <w:lang w:val="en-US"/>
        </w:rPr>
        <w:t>Tzartos</w:t>
      </w:r>
      <w:proofErr w:type="spellEnd"/>
      <w:r w:rsidRPr="00C81BA0">
        <w:rPr>
          <w:lang w:val="en-US"/>
        </w:rPr>
        <w:t xml:space="preserve"> SJ. Myasthenia Gravis: Autoantibody Specificities and Their Role in MG Management. Front Neurol. </w:t>
      </w:r>
      <w:proofErr w:type="gramStart"/>
      <w:r w:rsidRPr="00C81BA0">
        <w:rPr>
          <w:lang w:val="en-US"/>
        </w:rPr>
        <w:t>2020;11:596981</w:t>
      </w:r>
      <w:proofErr w:type="gramEnd"/>
      <w:r w:rsidRPr="00C81BA0">
        <w:rPr>
          <w:lang w:val="en-US"/>
        </w:rPr>
        <w:t>. doi:10.3389/fneur.2020.596981</w:t>
      </w:r>
      <w:r>
        <w:rPr>
          <w:lang w:val="en-US"/>
        </w:rPr>
        <w:t>.</w:t>
      </w:r>
    </w:p>
    <w:p w14:paraId="1DAC82E4" w14:textId="77777777" w:rsidR="00307C0F" w:rsidRPr="00C81BA0" w:rsidRDefault="00307C0F" w:rsidP="00307C0F">
      <w:pPr>
        <w:numPr>
          <w:ilvl w:val="0"/>
          <w:numId w:val="8"/>
        </w:numPr>
        <w:autoSpaceDE w:val="0"/>
        <w:autoSpaceDN w:val="0"/>
        <w:adjustRightInd w:val="0"/>
        <w:spacing w:line="276" w:lineRule="auto"/>
        <w:jc w:val="both"/>
        <w:rPr>
          <w:lang w:val="en-US"/>
        </w:rPr>
      </w:pPr>
      <w:proofErr w:type="spellStart"/>
      <w:r w:rsidRPr="00C81BA0">
        <w:t>Ghazanfari</w:t>
      </w:r>
      <w:proofErr w:type="spellEnd"/>
      <w:r w:rsidRPr="00C81BA0">
        <w:t xml:space="preserve"> N, Fernandez KJ, Murata Y, et al. </w:t>
      </w:r>
      <w:r w:rsidRPr="00C81BA0">
        <w:rPr>
          <w:lang w:val="en-US"/>
        </w:rPr>
        <w:t xml:space="preserve">Muscle specific kinase: organizer of synaptic membrane domains. Int J </w:t>
      </w:r>
      <w:proofErr w:type="spellStart"/>
      <w:r w:rsidRPr="00C81BA0">
        <w:rPr>
          <w:lang w:val="en-US"/>
        </w:rPr>
        <w:t>Biochem</w:t>
      </w:r>
      <w:proofErr w:type="spellEnd"/>
      <w:r w:rsidRPr="00C81BA0">
        <w:rPr>
          <w:lang w:val="en-US"/>
        </w:rPr>
        <w:t xml:space="preserve"> Cell Biol. 2011;43(3):295-298. </w:t>
      </w:r>
      <w:proofErr w:type="gramStart"/>
      <w:r w:rsidRPr="00C81BA0">
        <w:rPr>
          <w:lang w:val="en-US"/>
        </w:rPr>
        <w:t>doi:10.1016/j.biocel</w:t>
      </w:r>
      <w:proofErr w:type="gramEnd"/>
      <w:r w:rsidRPr="00C81BA0">
        <w:rPr>
          <w:lang w:val="en-US"/>
        </w:rPr>
        <w:t>.2010.10.008.</w:t>
      </w:r>
    </w:p>
    <w:p w14:paraId="7E26287C" w14:textId="77777777" w:rsidR="00307C0F"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McConville J, Farrugia ME, Beeson D, et al. Detection and characterization of </w:t>
      </w:r>
      <w:proofErr w:type="spellStart"/>
      <w:r w:rsidRPr="00C81BA0">
        <w:rPr>
          <w:lang w:val="en-US"/>
        </w:rPr>
        <w:t>MuSK</w:t>
      </w:r>
      <w:proofErr w:type="spellEnd"/>
      <w:r w:rsidRPr="00C81BA0">
        <w:rPr>
          <w:lang w:val="en-US"/>
        </w:rPr>
        <w:t xml:space="preserve"> antibodies in seronegative myasthenia gravis. Ann Neurol. 2004;55(4):580-584. doi:10.1002/ana.20061.</w:t>
      </w:r>
    </w:p>
    <w:p w14:paraId="18EC1E13" w14:textId="77777777" w:rsidR="00307C0F" w:rsidRDefault="00307C0F" w:rsidP="00307C0F">
      <w:pPr>
        <w:numPr>
          <w:ilvl w:val="0"/>
          <w:numId w:val="8"/>
        </w:numPr>
        <w:autoSpaceDE w:val="0"/>
        <w:autoSpaceDN w:val="0"/>
        <w:adjustRightInd w:val="0"/>
        <w:spacing w:line="276" w:lineRule="auto"/>
        <w:jc w:val="both"/>
        <w:rPr>
          <w:lang w:val="en-US"/>
        </w:rPr>
      </w:pPr>
      <w:r w:rsidRPr="00C81BA0">
        <w:rPr>
          <w:lang w:val="nl-NL"/>
        </w:rPr>
        <w:t xml:space="preserve">Rodríguez Cruz PM, Al-Hajjar M, Huda S, et al. </w:t>
      </w:r>
      <w:r w:rsidRPr="00C81BA0">
        <w:rPr>
          <w:lang w:val="en-US"/>
        </w:rPr>
        <w:t>Clinical Features and Diagnostic Usefulness of Antibodies to Clustered Acetylcholine Receptors in the Diagnosis of Seronegative Myasthenia Gravis. JAMA Neurol. 2015;72(6):642-649. doi:10.1001/jamaneurol.2015.0203.</w:t>
      </w:r>
    </w:p>
    <w:p w14:paraId="354A90A6" w14:textId="77777777" w:rsidR="00307C0F" w:rsidRPr="00C81BA0" w:rsidRDefault="00307C0F" w:rsidP="00307C0F">
      <w:pPr>
        <w:numPr>
          <w:ilvl w:val="0"/>
          <w:numId w:val="8"/>
        </w:numPr>
        <w:autoSpaceDE w:val="0"/>
        <w:autoSpaceDN w:val="0"/>
        <w:adjustRightInd w:val="0"/>
        <w:spacing w:line="276" w:lineRule="auto"/>
        <w:jc w:val="both"/>
        <w:rPr>
          <w:lang w:val="en-US"/>
        </w:rPr>
      </w:pPr>
      <w:proofErr w:type="spellStart"/>
      <w:r w:rsidRPr="00C81BA0">
        <w:rPr>
          <w:lang w:val="fr-FR"/>
        </w:rPr>
        <w:t>Cron</w:t>
      </w:r>
      <w:proofErr w:type="spellEnd"/>
      <w:r w:rsidRPr="00C81BA0">
        <w:rPr>
          <w:lang w:val="fr-FR"/>
        </w:rPr>
        <w:t xml:space="preserve"> MA, Maillard S, Villegas J, et al. </w:t>
      </w:r>
      <w:r w:rsidRPr="00C81BA0">
        <w:rPr>
          <w:lang w:val="en-US"/>
        </w:rPr>
        <w:t xml:space="preserve">Thymus involvement in early-onset myasthenia gravis. Ann N Y </w:t>
      </w:r>
      <w:proofErr w:type="spellStart"/>
      <w:r w:rsidRPr="00C81BA0">
        <w:rPr>
          <w:lang w:val="en-US"/>
        </w:rPr>
        <w:t>Acad</w:t>
      </w:r>
      <w:proofErr w:type="spellEnd"/>
      <w:r w:rsidRPr="00C81BA0">
        <w:rPr>
          <w:lang w:val="en-US"/>
        </w:rPr>
        <w:t xml:space="preserve"> Sci. 2018;1412(1):137-145. doi:10.1111/nyas.13519.</w:t>
      </w:r>
    </w:p>
    <w:p w14:paraId="089C10AB"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t xml:space="preserve">Cavalcante P, Le Panse R, </w:t>
      </w:r>
      <w:proofErr w:type="spellStart"/>
      <w:r w:rsidRPr="00C81BA0">
        <w:t>Berrih-Aknin</w:t>
      </w:r>
      <w:proofErr w:type="spellEnd"/>
      <w:r w:rsidRPr="00C81BA0">
        <w:t xml:space="preserve"> S, et al. </w:t>
      </w:r>
      <w:r w:rsidRPr="00C81BA0">
        <w:rPr>
          <w:lang w:val="en-US"/>
        </w:rPr>
        <w:t>The thymus in myasthenia gravis: Site of "innate autoimmunity</w:t>
      </w:r>
      <w:proofErr w:type="gramStart"/>
      <w:r w:rsidRPr="00C81BA0">
        <w:rPr>
          <w:lang w:val="en-US"/>
        </w:rPr>
        <w:t>"?.</w:t>
      </w:r>
      <w:proofErr w:type="gramEnd"/>
      <w:r w:rsidRPr="00C81BA0">
        <w:rPr>
          <w:lang w:val="en-US"/>
        </w:rPr>
        <w:t xml:space="preserve"> Muscle Nerve. 2011;44(4):467-484. doi:10.1002/mus.22103.</w:t>
      </w:r>
    </w:p>
    <w:p w14:paraId="663813DC" w14:textId="77777777" w:rsidR="00307C0F" w:rsidRDefault="00307C0F" w:rsidP="00307C0F">
      <w:pPr>
        <w:numPr>
          <w:ilvl w:val="0"/>
          <w:numId w:val="8"/>
        </w:numPr>
        <w:autoSpaceDE w:val="0"/>
        <w:autoSpaceDN w:val="0"/>
        <w:adjustRightInd w:val="0"/>
        <w:spacing w:line="276" w:lineRule="auto"/>
        <w:jc w:val="both"/>
        <w:rPr>
          <w:lang w:val="en-US"/>
        </w:rPr>
      </w:pPr>
      <w:proofErr w:type="spellStart"/>
      <w:r w:rsidRPr="00C81BA0">
        <w:t>Willcox</w:t>
      </w:r>
      <w:proofErr w:type="spellEnd"/>
      <w:r w:rsidRPr="00C81BA0">
        <w:t xml:space="preserve"> N, </w:t>
      </w:r>
      <w:proofErr w:type="spellStart"/>
      <w:r w:rsidRPr="00C81BA0">
        <w:t>Leite</w:t>
      </w:r>
      <w:proofErr w:type="spellEnd"/>
      <w:r w:rsidRPr="00C81BA0">
        <w:t xml:space="preserve"> MI, </w:t>
      </w:r>
      <w:proofErr w:type="spellStart"/>
      <w:r w:rsidRPr="00C81BA0">
        <w:t>Kadota</w:t>
      </w:r>
      <w:proofErr w:type="spellEnd"/>
      <w:r w:rsidRPr="00C81BA0">
        <w:t xml:space="preserve"> Y, et al. </w:t>
      </w:r>
      <w:proofErr w:type="spellStart"/>
      <w:r w:rsidRPr="00C81BA0">
        <w:rPr>
          <w:lang w:val="en-US"/>
        </w:rPr>
        <w:t>Autoimmunizing</w:t>
      </w:r>
      <w:proofErr w:type="spellEnd"/>
      <w:r w:rsidRPr="00C81BA0">
        <w:rPr>
          <w:lang w:val="en-US"/>
        </w:rPr>
        <w:t xml:space="preserve"> mechanisms in thymoma and thymus. Ann N Y </w:t>
      </w:r>
      <w:proofErr w:type="spellStart"/>
      <w:r w:rsidRPr="00C81BA0">
        <w:rPr>
          <w:lang w:val="en-US"/>
        </w:rPr>
        <w:t>Acad</w:t>
      </w:r>
      <w:proofErr w:type="spellEnd"/>
      <w:r w:rsidRPr="00C81BA0">
        <w:rPr>
          <w:lang w:val="en-US"/>
        </w:rPr>
        <w:t xml:space="preserve"> Sci. </w:t>
      </w:r>
      <w:proofErr w:type="gramStart"/>
      <w:r w:rsidRPr="00C81BA0">
        <w:rPr>
          <w:lang w:val="en-US"/>
        </w:rPr>
        <w:t>2008;1132:163</w:t>
      </w:r>
      <w:proofErr w:type="gramEnd"/>
      <w:r w:rsidRPr="00C81BA0">
        <w:rPr>
          <w:lang w:val="en-US"/>
        </w:rPr>
        <w:t>-173. doi:10.1196/annals.1405.021.</w:t>
      </w:r>
    </w:p>
    <w:p w14:paraId="105ED16A" w14:textId="77777777" w:rsidR="00307C0F" w:rsidRPr="00C81BA0" w:rsidRDefault="00307C0F" w:rsidP="00307C0F">
      <w:pPr>
        <w:numPr>
          <w:ilvl w:val="0"/>
          <w:numId w:val="8"/>
        </w:numPr>
        <w:autoSpaceDE w:val="0"/>
        <w:autoSpaceDN w:val="0"/>
        <w:adjustRightInd w:val="0"/>
        <w:spacing w:line="276" w:lineRule="auto"/>
        <w:jc w:val="both"/>
        <w:rPr>
          <w:lang w:val="en-US"/>
        </w:rPr>
      </w:pPr>
      <w:proofErr w:type="spellStart"/>
      <w:r w:rsidRPr="00C81BA0">
        <w:rPr>
          <w:lang w:val="en-US"/>
        </w:rPr>
        <w:t>Witthayaweerasak</w:t>
      </w:r>
      <w:proofErr w:type="spellEnd"/>
      <w:r w:rsidRPr="00C81BA0">
        <w:rPr>
          <w:lang w:val="en-US"/>
        </w:rPr>
        <w:t xml:space="preserve"> J, </w:t>
      </w:r>
      <w:proofErr w:type="spellStart"/>
      <w:r w:rsidRPr="00C81BA0">
        <w:rPr>
          <w:lang w:val="en-US"/>
        </w:rPr>
        <w:t>Rattanalert</w:t>
      </w:r>
      <w:proofErr w:type="spellEnd"/>
      <w:r w:rsidRPr="00C81BA0">
        <w:rPr>
          <w:lang w:val="en-US"/>
        </w:rPr>
        <w:t xml:space="preserve"> N, </w:t>
      </w:r>
      <w:proofErr w:type="spellStart"/>
      <w:r w:rsidRPr="00C81BA0">
        <w:rPr>
          <w:lang w:val="en-US"/>
        </w:rPr>
        <w:t>Aui</w:t>
      </w:r>
      <w:proofErr w:type="spellEnd"/>
      <w:r w:rsidRPr="00C81BA0">
        <w:rPr>
          <w:lang w:val="en-US"/>
        </w:rPr>
        <w:t>-Aree N. Prognostic factors for conversion to generalization in ocular myasthenia gravis. Medicine (Baltimore). 2021;100(19</w:t>
      </w:r>
      <w:proofErr w:type="gramStart"/>
      <w:r w:rsidRPr="00C81BA0">
        <w:rPr>
          <w:lang w:val="en-US"/>
        </w:rPr>
        <w:t>):e</w:t>
      </w:r>
      <w:proofErr w:type="gramEnd"/>
      <w:r w:rsidRPr="00C81BA0">
        <w:rPr>
          <w:lang w:val="en-US"/>
        </w:rPr>
        <w:t>25899. doi:10.1097/MD.0000000000025899.</w:t>
      </w:r>
    </w:p>
    <w:p w14:paraId="209497F7" w14:textId="77777777" w:rsidR="00307C0F" w:rsidRPr="00C81BA0" w:rsidRDefault="00307C0F" w:rsidP="00307C0F">
      <w:pPr>
        <w:numPr>
          <w:ilvl w:val="0"/>
          <w:numId w:val="8"/>
        </w:numPr>
        <w:autoSpaceDE w:val="0"/>
        <w:autoSpaceDN w:val="0"/>
        <w:adjustRightInd w:val="0"/>
        <w:spacing w:line="276" w:lineRule="auto"/>
        <w:jc w:val="both"/>
        <w:rPr>
          <w:lang w:val="en-US"/>
        </w:rPr>
      </w:pPr>
      <w:proofErr w:type="spellStart"/>
      <w:r w:rsidRPr="00C81BA0">
        <w:rPr>
          <w:lang w:val="de-DE"/>
        </w:rPr>
        <w:t>Monsul</w:t>
      </w:r>
      <w:proofErr w:type="spellEnd"/>
      <w:r w:rsidRPr="00C81BA0">
        <w:rPr>
          <w:lang w:val="de-DE"/>
        </w:rPr>
        <w:t xml:space="preserve"> NT, </w:t>
      </w:r>
      <w:proofErr w:type="spellStart"/>
      <w:r w:rsidRPr="00C81BA0">
        <w:rPr>
          <w:lang w:val="de-DE"/>
        </w:rPr>
        <w:t>Patwa</w:t>
      </w:r>
      <w:proofErr w:type="spellEnd"/>
      <w:r w:rsidRPr="00C81BA0">
        <w:rPr>
          <w:lang w:val="de-DE"/>
        </w:rPr>
        <w:t xml:space="preserve"> HS, Knorr AM, Lesser RL, Goldstein JM. </w:t>
      </w:r>
      <w:r w:rsidRPr="00C81BA0">
        <w:rPr>
          <w:lang w:val="en-US"/>
        </w:rPr>
        <w:t xml:space="preserve">The effect of prednisone on the progression from ocular to generalized myasthenia gravis. J Neurol Sci. 2004;217(2):131-133. </w:t>
      </w:r>
      <w:proofErr w:type="gramStart"/>
      <w:r w:rsidRPr="00C81BA0">
        <w:rPr>
          <w:lang w:val="en-US"/>
        </w:rPr>
        <w:t>doi:10.1016/j.jns</w:t>
      </w:r>
      <w:proofErr w:type="gramEnd"/>
      <w:r w:rsidRPr="00C81BA0">
        <w:rPr>
          <w:lang w:val="en-US"/>
        </w:rPr>
        <w:t>.2003.08.017.</w:t>
      </w:r>
    </w:p>
    <w:p w14:paraId="7F96AB01"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Benatar M. A systematic review of diagnostic studies in myasthenia gravis. </w:t>
      </w:r>
      <w:proofErr w:type="spellStart"/>
      <w:r w:rsidRPr="00C81BA0">
        <w:rPr>
          <w:lang w:val="en-US"/>
        </w:rPr>
        <w:t>Neuromuscul</w:t>
      </w:r>
      <w:proofErr w:type="spellEnd"/>
      <w:r w:rsidRPr="00C81BA0">
        <w:rPr>
          <w:lang w:val="en-US"/>
        </w:rPr>
        <w:t xml:space="preserve"> </w:t>
      </w:r>
      <w:proofErr w:type="spellStart"/>
      <w:r w:rsidRPr="00C81BA0">
        <w:rPr>
          <w:lang w:val="en-US"/>
        </w:rPr>
        <w:t>Disord</w:t>
      </w:r>
      <w:proofErr w:type="spellEnd"/>
      <w:r w:rsidRPr="00C81BA0">
        <w:rPr>
          <w:lang w:val="en-US"/>
        </w:rPr>
        <w:t xml:space="preserve">. 2006;16(7):459-467. </w:t>
      </w:r>
      <w:proofErr w:type="gramStart"/>
      <w:r w:rsidRPr="00C81BA0">
        <w:rPr>
          <w:lang w:val="en-US"/>
        </w:rPr>
        <w:t>doi:10.1016/j.nmd</w:t>
      </w:r>
      <w:proofErr w:type="gramEnd"/>
      <w:r w:rsidRPr="00C81BA0">
        <w:rPr>
          <w:lang w:val="en-US"/>
        </w:rPr>
        <w:t>.2006.05.006.</w:t>
      </w:r>
    </w:p>
    <w:p w14:paraId="522B421E"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Estephan EP, Baima JPS, Zambon AA. Myasthenia gravis in clinical practice. </w:t>
      </w:r>
      <w:proofErr w:type="spellStart"/>
      <w:r w:rsidRPr="00C81BA0">
        <w:rPr>
          <w:lang w:val="en-US"/>
        </w:rPr>
        <w:t>Arq</w:t>
      </w:r>
      <w:proofErr w:type="spellEnd"/>
      <w:r w:rsidRPr="00C81BA0">
        <w:rPr>
          <w:lang w:val="en-US"/>
        </w:rPr>
        <w:t xml:space="preserve"> Neuro-</w:t>
      </w:r>
      <w:proofErr w:type="spellStart"/>
      <w:r w:rsidRPr="00C81BA0">
        <w:rPr>
          <w:lang w:val="en-US"/>
        </w:rPr>
        <w:t>Psiquiatr</w:t>
      </w:r>
      <w:proofErr w:type="spellEnd"/>
      <w:r w:rsidRPr="00C81BA0">
        <w:rPr>
          <w:lang w:val="en-US"/>
        </w:rPr>
        <w:t>. 2022;80(5 Suppl 1):257-265. doi:10.1590/0004-282X-ANP-2022-S105.</w:t>
      </w:r>
    </w:p>
    <w:p w14:paraId="6094635F" w14:textId="77777777" w:rsidR="00307C0F" w:rsidRDefault="00307C0F" w:rsidP="00307C0F">
      <w:pPr>
        <w:numPr>
          <w:ilvl w:val="0"/>
          <w:numId w:val="8"/>
        </w:numPr>
        <w:autoSpaceDE w:val="0"/>
        <w:autoSpaceDN w:val="0"/>
        <w:adjustRightInd w:val="0"/>
        <w:spacing w:line="276" w:lineRule="auto"/>
        <w:jc w:val="both"/>
        <w:rPr>
          <w:lang w:val="en-US"/>
        </w:rPr>
      </w:pPr>
      <w:r w:rsidRPr="00C81BA0">
        <w:rPr>
          <w:lang w:val="de-DE"/>
        </w:rPr>
        <w:lastRenderedPageBreak/>
        <w:t xml:space="preserve">Melzer N, Ruck T, Fuhr P, et al. </w:t>
      </w:r>
      <w:r w:rsidRPr="00C81BA0">
        <w:rPr>
          <w:lang w:val="en-US"/>
        </w:rPr>
        <w:t>Clinical features, pathogenesis, and treatment of myasthenia gravis: a supplement to the Guidelines of the German Neurological Society. J Neurol. 2015;262(7):1479-1494. doi:10.1007/s00415-015-7753-z.</w:t>
      </w:r>
    </w:p>
    <w:p w14:paraId="37B5119F" w14:textId="77777777" w:rsidR="00307C0F" w:rsidRDefault="00307C0F" w:rsidP="00307C0F">
      <w:pPr>
        <w:numPr>
          <w:ilvl w:val="0"/>
          <w:numId w:val="8"/>
        </w:numPr>
        <w:autoSpaceDE w:val="0"/>
        <w:autoSpaceDN w:val="0"/>
        <w:adjustRightInd w:val="0"/>
        <w:spacing w:line="276" w:lineRule="auto"/>
        <w:jc w:val="both"/>
        <w:rPr>
          <w:lang w:val="en-US"/>
        </w:rPr>
      </w:pPr>
      <w:proofErr w:type="spellStart"/>
      <w:r w:rsidRPr="00C81BA0">
        <w:rPr>
          <w:lang w:val="en-US"/>
        </w:rPr>
        <w:t>Tanovska</w:t>
      </w:r>
      <w:proofErr w:type="spellEnd"/>
      <w:r w:rsidRPr="00C81BA0">
        <w:rPr>
          <w:lang w:val="en-US"/>
        </w:rPr>
        <w:t xml:space="preserve"> N, Novotni G, </w:t>
      </w:r>
      <w:proofErr w:type="spellStart"/>
      <w:r w:rsidRPr="00C81BA0">
        <w:rPr>
          <w:lang w:val="en-US"/>
        </w:rPr>
        <w:t>Sazdova-Burneska</w:t>
      </w:r>
      <w:proofErr w:type="spellEnd"/>
      <w:r w:rsidRPr="00C81BA0">
        <w:rPr>
          <w:lang w:val="en-US"/>
        </w:rPr>
        <w:t xml:space="preserve"> S, et al. Myasthenia Gravis and Associated Diseases. Open Access Maced J Med Sci. 2018;6(3):472-478. doi:10.3889/oamjms.2018.110</w:t>
      </w:r>
    </w:p>
    <w:p w14:paraId="3871DFFF" w14:textId="77777777" w:rsidR="00307C0F" w:rsidRPr="00C81BA0" w:rsidRDefault="00307C0F" w:rsidP="00307C0F">
      <w:pPr>
        <w:numPr>
          <w:ilvl w:val="0"/>
          <w:numId w:val="8"/>
        </w:numPr>
        <w:autoSpaceDE w:val="0"/>
        <w:autoSpaceDN w:val="0"/>
        <w:adjustRightInd w:val="0"/>
        <w:spacing w:line="276" w:lineRule="auto"/>
        <w:jc w:val="both"/>
        <w:rPr>
          <w:lang w:val="en-US"/>
        </w:rPr>
      </w:pPr>
      <w:proofErr w:type="spellStart"/>
      <w:r w:rsidRPr="00C81BA0">
        <w:rPr>
          <w:lang w:val="en-US"/>
        </w:rPr>
        <w:t>Mantegazza</w:t>
      </w:r>
      <w:proofErr w:type="spellEnd"/>
      <w:r w:rsidRPr="00C81BA0">
        <w:rPr>
          <w:lang w:val="en-US"/>
        </w:rPr>
        <w:t xml:space="preserve"> R, </w:t>
      </w:r>
      <w:proofErr w:type="spellStart"/>
      <w:r w:rsidRPr="00C81BA0">
        <w:rPr>
          <w:lang w:val="en-US"/>
        </w:rPr>
        <w:t>Antozzi</w:t>
      </w:r>
      <w:proofErr w:type="spellEnd"/>
      <w:r w:rsidRPr="00C81BA0">
        <w:rPr>
          <w:lang w:val="en-US"/>
        </w:rPr>
        <w:t xml:space="preserve"> C. When myasthenia gravis is deemed refractory: clinical signposts and treatment strategies. Ther Adv Neurol </w:t>
      </w:r>
      <w:proofErr w:type="spellStart"/>
      <w:r w:rsidRPr="00C81BA0">
        <w:rPr>
          <w:lang w:val="en-US"/>
        </w:rPr>
        <w:t>Disord</w:t>
      </w:r>
      <w:proofErr w:type="spellEnd"/>
      <w:r w:rsidRPr="00C81BA0">
        <w:rPr>
          <w:lang w:val="en-US"/>
        </w:rPr>
        <w:t xml:space="preserve">. </w:t>
      </w:r>
      <w:proofErr w:type="gramStart"/>
      <w:r w:rsidRPr="00C81BA0">
        <w:rPr>
          <w:lang w:val="en-US"/>
        </w:rPr>
        <w:t>2018;11:1756285617749134</w:t>
      </w:r>
      <w:proofErr w:type="gramEnd"/>
      <w:r w:rsidRPr="00C81BA0">
        <w:rPr>
          <w:lang w:val="en-US"/>
        </w:rPr>
        <w:t>. doi:10.1177/1756285617749134.</w:t>
      </w:r>
    </w:p>
    <w:p w14:paraId="03AB0E4F" w14:textId="77777777" w:rsidR="00307C0F" w:rsidRDefault="00307C0F" w:rsidP="00307C0F">
      <w:pPr>
        <w:numPr>
          <w:ilvl w:val="0"/>
          <w:numId w:val="8"/>
        </w:numPr>
        <w:autoSpaceDE w:val="0"/>
        <w:autoSpaceDN w:val="0"/>
        <w:adjustRightInd w:val="0"/>
        <w:spacing w:line="276" w:lineRule="auto"/>
        <w:jc w:val="both"/>
        <w:rPr>
          <w:lang w:val="en-US"/>
        </w:rPr>
      </w:pPr>
      <w:proofErr w:type="spellStart"/>
      <w:r w:rsidRPr="00120051">
        <w:rPr>
          <w:lang w:val="en-US"/>
        </w:rPr>
        <w:t>Tha</w:t>
      </w:r>
      <w:proofErr w:type="spellEnd"/>
      <w:r w:rsidRPr="00120051">
        <w:rPr>
          <w:lang w:val="en-US"/>
        </w:rPr>
        <w:t xml:space="preserve">-In T, </w:t>
      </w:r>
      <w:proofErr w:type="spellStart"/>
      <w:r w:rsidRPr="00120051">
        <w:rPr>
          <w:lang w:val="en-US"/>
        </w:rPr>
        <w:t>Bayry</w:t>
      </w:r>
      <w:proofErr w:type="spellEnd"/>
      <w:r w:rsidRPr="00120051">
        <w:rPr>
          <w:lang w:val="en-US"/>
        </w:rPr>
        <w:t xml:space="preserve"> J, </w:t>
      </w:r>
      <w:proofErr w:type="spellStart"/>
      <w:r w:rsidRPr="00120051">
        <w:rPr>
          <w:lang w:val="en-US"/>
        </w:rPr>
        <w:t>Metselaar</w:t>
      </w:r>
      <w:proofErr w:type="spellEnd"/>
      <w:r w:rsidRPr="00120051">
        <w:rPr>
          <w:lang w:val="en-US"/>
        </w:rPr>
        <w:t xml:space="preserve"> HJ, Kaveri SV, </w:t>
      </w:r>
      <w:proofErr w:type="spellStart"/>
      <w:r w:rsidRPr="00120051">
        <w:rPr>
          <w:lang w:val="en-US"/>
        </w:rPr>
        <w:t>Kwekkeboom</w:t>
      </w:r>
      <w:proofErr w:type="spellEnd"/>
      <w:r w:rsidRPr="00120051">
        <w:rPr>
          <w:lang w:val="en-US"/>
        </w:rPr>
        <w:t xml:space="preserve"> J. Modulation of the cellular immune system by intravenous immunoglobulin. Trends Immunol. 2008;29(12):608-615. doi:10.1016/j.it.2008.08.004</w:t>
      </w:r>
    </w:p>
    <w:p w14:paraId="5450A9EA" w14:textId="77777777" w:rsidR="00307C0F" w:rsidRPr="00C81BA0" w:rsidRDefault="00307C0F" w:rsidP="00307C0F">
      <w:pPr>
        <w:numPr>
          <w:ilvl w:val="0"/>
          <w:numId w:val="8"/>
        </w:numPr>
        <w:autoSpaceDE w:val="0"/>
        <w:autoSpaceDN w:val="0"/>
        <w:adjustRightInd w:val="0"/>
        <w:spacing w:line="276" w:lineRule="auto"/>
        <w:jc w:val="both"/>
        <w:rPr>
          <w:lang w:val="en-US"/>
        </w:rPr>
      </w:pPr>
      <w:proofErr w:type="spellStart"/>
      <w:r w:rsidRPr="00C81BA0">
        <w:rPr>
          <w:lang w:val="en-US"/>
        </w:rPr>
        <w:t>Alabdali</w:t>
      </w:r>
      <w:proofErr w:type="spellEnd"/>
      <w:r w:rsidRPr="00C81BA0">
        <w:rPr>
          <w:lang w:val="en-US"/>
        </w:rPr>
        <w:t xml:space="preserve"> M, Barnett C, Katzberg H, Breiner A, Bril V. Intravenous immunoglobulin as treatment for myasthenia gravis: current evidence and outcomes. Expert Rev Clin Immunol. 2014;10(12):1659-1665. doi:10.1586/1744666X.2014.971757.</w:t>
      </w:r>
    </w:p>
    <w:p w14:paraId="35935F35" w14:textId="77777777" w:rsidR="00307C0F"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Alcantara M, Sarpong E, Barnett C, Katzberg H, Bril V. Chronic immunoglobulin maintenance therapy in myasthenia gravis. </w:t>
      </w:r>
      <w:proofErr w:type="spellStart"/>
      <w:r w:rsidRPr="00C81BA0">
        <w:rPr>
          <w:lang w:val="en-US"/>
        </w:rPr>
        <w:t>Eur</w:t>
      </w:r>
      <w:proofErr w:type="spellEnd"/>
      <w:r w:rsidRPr="00C81BA0">
        <w:rPr>
          <w:lang w:val="en-US"/>
        </w:rPr>
        <w:t xml:space="preserve"> J Neurol. 2021;28(2):639-646. doi:10.1111/ene.14547.</w:t>
      </w:r>
    </w:p>
    <w:p w14:paraId="71B84EFD" w14:textId="77777777" w:rsidR="00307C0F" w:rsidRPr="00120051" w:rsidRDefault="00307C0F" w:rsidP="00307C0F">
      <w:pPr>
        <w:numPr>
          <w:ilvl w:val="0"/>
          <w:numId w:val="8"/>
        </w:numPr>
        <w:autoSpaceDE w:val="0"/>
        <w:autoSpaceDN w:val="0"/>
        <w:adjustRightInd w:val="0"/>
        <w:spacing w:line="276" w:lineRule="auto"/>
        <w:jc w:val="both"/>
        <w:rPr>
          <w:lang w:val="en-US"/>
        </w:rPr>
      </w:pPr>
      <w:r w:rsidRPr="00C81BA0">
        <w:rPr>
          <w:lang w:val="nl-NL"/>
        </w:rPr>
        <w:t xml:space="preserve">Gajdos P, Chevret S, Toyka KV. </w:t>
      </w:r>
      <w:r w:rsidRPr="00C81BA0">
        <w:rPr>
          <w:lang w:val="en-US"/>
        </w:rPr>
        <w:t xml:space="preserve">Intravenous immunoglobulin for myasthenia gravis. Cochrane Database Syst Rev. 2012;12(12):CD002277. </w:t>
      </w:r>
      <w:proofErr w:type="gramStart"/>
      <w:r w:rsidRPr="00C81BA0">
        <w:rPr>
          <w:lang w:val="en-US"/>
        </w:rPr>
        <w:t>doi:10.1002/14651858.CD002277.pub4</w:t>
      </w:r>
      <w:proofErr w:type="gramEnd"/>
      <w:r w:rsidRPr="00C81BA0">
        <w:rPr>
          <w:lang w:val="en-US"/>
        </w:rPr>
        <w:t>.</w:t>
      </w:r>
    </w:p>
    <w:p w14:paraId="46BB3ED7" w14:textId="77777777" w:rsidR="00307C0F" w:rsidRPr="00120051" w:rsidRDefault="00307C0F" w:rsidP="00307C0F">
      <w:pPr>
        <w:numPr>
          <w:ilvl w:val="0"/>
          <w:numId w:val="8"/>
        </w:numPr>
        <w:autoSpaceDE w:val="0"/>
        <w:autoSpaceDN w:val="0"/>
        <w:adjustRightInd w:val="0"/>
        <w:spacing w:line="276" w:lineRule="auto"/>
        <w:jc w:val="both"/>
        <w:rPr>
          <w:lang w:val="en-US"/>
        </w:rPr>
      </w:pPr>
      <w:r w:rsidRPr="00120051">
        <w:rPr>
          <w:lang w:val="en-US"/>
        </w:rPr>
        <w:t xml:space="preserve">Qureshi, A.I.; Suri, M.F. Plasma Exchange for Treatment of Myasthenia Gravis: Pathophysiologic Basis and Clinical Experience. Ther. </w:t>
      </w:r>
      <w:proofErr w:type="spellStart"/>
      <w:r w:rsidRPr="00120051">
        <w:rPr>
          <w:lang w:val="en-US"/>
        </w:rPr>
        <w:t>Apher</w:t>
      </w:r>
      <w:proofErr w:type="spellEnd"/>
      <w:r w:rsidRPr="00120051">
        <w:rPr>
          <w:lang w:val="en-US"/>
        </w:rPr>
        <w:t>. 2000, 4, 280–286.</w:t>
      </w:r>
    </w:p>
    <w:p w14:paraId="18668C8F" w14:textId="77777777" w:rsidR="00307C0F" w:rsidRPr="00120051" w:rsidRDefault="00307C0F" w:rsidP="00307C0F">
      <w:pPr>
        <w:numPr>
          <w:ilvl w:val="0"/>
          <w:numId w:val="8"/>
        </w:numPr>
        <w:autoSpaceDE w:val="0"/>
        <w:autoSpaceDN w:val="0"/>
        <w:adjustRightInd w:val="0"/>
        <w:spacing w:line="276" w:lineRule="auto"/>
        <w:jc w:val="both"/>
        <w:rPr>
          <w:lang w:val="en-US"/>
        </w:rPr>
      </w:pPr>
      <w:r w:rsidRPr="00120051">
        <w:rPr>
          <w:lang w:val="en-US"/>
        </w:rPr>
        <w:t xml:space="preserve">Guptill, J.T.; Juel, V.C.; Massey, J.M.; Anderson, A.C.; Chopra, M.; Yi, J.S.; Esfandiari, E.; Buchanan, T.; Smith, B.; </w:t>
      </w:r>
      <w:proofErr w:type="spellStart"/>
      <w:r w:rsidRPr="00120051">
        <w:rPr>
          <w:lang w:val="en-US"/>
        </w:rPr>
        <w:t>Atherfold</w:t>
      </w:r>
      <w:proofErr w:type="spellEnd"/>
      <w:r w:rsidRPr="00120051">
        <w:rPr>
          <w:lang w:val="en-US"/>
        </w:rPr>
        <w:t>, P.; et al. Effect of therapeutic plasma exchange on immunoglobulins in myasthenia gravis. Autoimmunity 2016, 49, 472–479.</w:t>
      </w:r>
    </w:p>
    <w:p w14:paraId="312B043F" w14:textId="77777777" w:rsidR="00307C0F" w:rsidRDefault="00307C0F" w:rsidP="00307C0F">
      <w:pPr>
        <w:numPr>
          <w:ilvl w:val="0"/>
          <w:numId w:val="8"/>
        </w:numPr>
        <w:autoSpaceDE w:val="0"/>
        <w:autoSpaceDN w:val="0"/>
        <w:adjustRightInd w:val="0"/>
        <w:spacing w:line="276" w:lineRule="auto"/>
        <w:jc w:val="both"/>
        <w:rPr>
          <w:lang w:val="en-US"/>
        </w:rPr>
      </w:pPr>
      <w:r w:rsidRPr="00120051">
        <w:rPr>
          <w:lang w:val="en-US"/>
        </w:rPr>
        <w:t>Yeh, J.H.; Wang, S.H.; Chien, P.J.; Shih, C.M.; Chiu, H.C. Changes in serum cytokine levels during plasmapheresis in patients with myasthenia gravis. Eur. J. Neurol. 2009, 16, 1318–1322.</w:t>
      </w:r>
    </w:p>
    <w:p w14:paraId="5A4EA480"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Menon D, Barnett C, Bril V. Novel Treatments in Myasthenia Gravis. Front Neurol. </w:t>
      </w:r>
      <w:proofErr w:type="gramStart"/>
      <w:r w:rsidRPr="00C81BA0">
        <w:rPr>
          <w:lang w:val="en-US"/>
        </w:rPr>
        <w:t>2020;11:538</w:t>
      </w:r>
      <w:proofErr w:type="gramEnd"/>
      <w:r w:rsidRPr="00C81BA0">
        <w:rPr>
          <w:lang w:val="en-US"/>
        </w:rPr>
        <w:t>. doi:10.3389/fneur.2020.00538.</w:t>
      </w:r>
    </w:p>
    <w:p w14:paraId="1609A482"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Baggi F, </w:t>
      </w:r>
      <w:proofErr w:type="spellStart"/>
      <w:r w:rsidRPr="00C81BA0">
        <w:rPr>
          <w:lang w:val="en-US"/>
        </w:rPr>
        <w:t>Antozzi</w:t>
      </w:r>
      <w:proofErr w:type="spellEnd"/>
      <w:r w:rsidRPr="00C81BA0">
        <w:rPr>
          <w:lang w:val="en-US"/>
        </w:rPr>
        <w:t xml:space="preserve"> C, Toscani C, </w:t>
      </w:r>
      <w:proofErr w:type="spellStart"/>
      <w:r w:rsidRPr="00C81BA0">
        <w:rPr>
          <w:lang w:val="en-US"/>
        </w:rPr>
        <w:t>Cordiglieri</w:t>
      </w:r>
      <w:proofErr w:type="spellEnd"/>
      <w:r w:rsidRPr="00C81BA0">
        <w:rPr>
          <w:lang w:val="en-US"/>
        </w:rPr>
        <w:t xml:space="preserve"> C. Acetylcholine receptor-induced experimental myasthenia gravis: what have we learned from animal models after three </w:t>
      </w:r>
      <w:proofErr w:type="gramStart"/>
      <w:r w:rsidRPr="00C81BA0">
        <w:rPr>
          <w:lang w:val="en-US"/>
        </w:rPr>
        <w:t>decades?.</w:t>
      </w:r>
      <w:proofErr w:type="gramEnd"/>
      <w:r w:rsidRPr="00C81BA0">
        <w:rPr>
          <w:lang w:val="en-US"/>
        </w:rPr>
        <w:t xml:space="preserve"> Arch Immunol Ther Exp (</w:t>
      </w:r>
      <w:proofErr w:type="spellStart"/>
      <w:r w:rsidRPr="00C81BA0">
        <w:rPr>
          <w:lang w:val="en-US"/>
        </w:rPr>
        <w:t>Warsz</w:t>
      </w:r>
      <w:proofErr w:type="spellEnd"/>
      <w:r w:rsidRPr="00C81BA0">
        <w:rPr>
          <w:lang w:val="en-US"/>
        </w:rPr>
        <w:t>). 2012;60(1):19-30. doi:10.1007/s00005-011-0158-6.</w:t>
      </w:r>
    </w:p>
    <w:p w14:paraId="0AF8D92F"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Simpson JA. Myasthenia gravis--validation of a hypothesis. Scott Med J. 1977;22(3):201-210. doi:10.1177/003693307702200305.</w:t>
      </w:r>
    </w:p>
    <w:p w14:paraId="07B09E45" w14:textId="77777777" w:rsidR="00307C0F" w:rsidRDefault="00307C0F" w:rsidP="00307C0F">
      <w:pPr>
        <w:numPr>
          <w:ilvl w:val="0"/>
          <w:numId w:val="8"/>
        </w:numPr>
        <w:autoSpaceDE w:val="0"/>
        <w:autoSpaceDN w:val="0"/>
        <w:adjustRightInd w:val="0"/>
        <w:spacing w:line="276" w:lineRule="auto"/>
        <w:jc w:val="both"/>
        <w:rPr>
          <w:lang w:val="en-US"/>
        </w:rPr>
      </w:pPr>
      <w:proofErr w:type="spellStart"/>
      <w:r w:rsidRPr="00C81BA0">
        <w:t>Nastuk</w:t>
      </w:r>
      <w:proofErr w:type="spellEnd"/>
      <w:r w:rsidRPr="00C81BA0">
        <w:t xml:space="preserve"> WL, Plescia OJ, </w:t>
      </w:r>
      <w:proofErr w:type="spellStart"/>
      <w:r w:rsidRPr="00C81BA0">
        <w:t>Osserman</w:t>
      </w:r>
      <w:proofErr w:type="spellEnd"/>
      <w:r w:rsidRPr="00C81BA0">
        <w:t xml:space="preserve"> KE. </w:t>
      </w:r>
      <w:r w:rsidRPr="00C81BA0">
        <w:rPr>
          <w:lang w:val="en-US"/>
        </w:rPr>
        <w:t xml:space="preserve">Changes in serum complement activity in patients with myasthenia gravis. Proc Soc Exp Biol Med. </w:t>
      </w:r>
      <w:proofErr w:type="gramStart"/>
      <w:r w:rsidRPr="00C81BA0">
        <w:rPr>
          <w:lang w:val="en-US"/>
        </w:rPr>
        <w:t>1960;105:177</w:t>
      </w:r>
      <w:proofErr w:type="gramEnd"/>
      <w:r w:rsidRPr="00C81BA0">
        <w:rPr>
          <w:lang w:val="en-US"/>
        </w:rPr>
        <w:t>-184. doi:10.3181/00379727-105-26050.</w:t>
      </w:r>
    </w:p>
    <w:p w14:paraId="1DB46767" w14:textId="77777777" w:rsidR="00307C0F" w:rsidRPr="00C81BA0" w:rsidRDefault="00307C0F" w:rsidP="00307C0F">
      <w:pPr>
        <w:numPr>
          <w:ilvl w:val="0"/>
          <w:numId w:val="8"/>
        </w:numPr>
        <w:autoSpaceDE w:val="0"/>
        <w:autoSpaceDN w:val="0"/>
        <w:adjustRightInd w:val="0"/>
        <w:spacing w:line="276" w:lineRule="auto"/>
        <w:jc w:val="both"/>
        <w:rPr>
          <w:lang w:val="en-US"/>
        </w:rPr>
      </w:pPr>
      <w:proofErr w:type="spellStart"/>
      <w:r w:rsidRPr="00C81BA0">
        <w:rPr>
          <w:lang w:val="fr-FR"/>
        </w:rPr>
        <w:t>Losen</w:t>
      </w:r>
      <w:proofErr w:type="spellEnd"/>
      <w:r w:rsidRPr="00C81BA0">
        <w:rPr>
          <w:lang w:val="fr-FR"/>
        </w:rPr>
        <w:t xml:space="preserve"> M, Martinez-Martinez P, </w:t>
      </w:r>
      <w:proofErr w:type="spellStart"/>
      <w:r w:rsidRPr="00C81BA0">
        <w:rPr>
          <w:lang w:val="fr-FR"/>
        </w:rPr>
        <w:t>Molenaar</w:t>
      </w:r>
      <w:proofErr w:type="spellEnd"/>
      <w:r w:rsidRPr="00C81BA0">
        <w:rPr>
          <w:lang w:val="fr-FR"/>
        </w:rPr>
        <w:t xml:space="preserve"> PC, et al. </w:t>
      </w:r>
      <w:r w:rsidRPr="00C81BA0">
        <w:rPr>
          <w:lang w:val="en-US"/>
        </w:rPr>
        <w:t xml:space="preserve">Standardization of the experimental autoimmune myasthenia gravis (EAMG) model by immunization of rats with Torpedo californica acetylcholine receptors--Recommendations for methods and experimental designs. Exp Neurol. </w:t>
      </w:r>
      <w:proofErr w:type="gramStart"/>
      <w:r w:rsidRPr="00C81BA0">
        <w:rPr>
          <w:lang w:val="en-US"/>
        </w:rPr>
        <w:t>2015;270:18</w:t>
      </w:r>
      <w:proofErr w:type="gramEnd"/>
      <w:r w:rsidRPr="00C81BA0">
        <w:rPr>
          <w:lang w:val="en-US"/>
        </w:rPr>
        <w:t xml:space="preserve">-28. </w:t>
      </w:r>
      <w:proofErr w:type="gramStart"/>
      <w:r w:rsidRPr="00C81BA0">
        <w:rPr>
          <w:lang w:val="en-US"/>
        </w:rPr>
        <w:t>doi:10.1016/j.expneurol</w:t>
      </w:r>
      <w:proofErr w:type="gramEnd"/>
      <w:r w:rsidRPr="00C81BA0">
        <w:rPr>
          <w:lang w:val="en-US"/>
        </w:rPr>
        <w:t>.2015.03.010.</w:t>
      </w:r>
    </w:p>
    <w:p w14:paraId="2CEFA5F2" w14:textId="77777777" w:rsidR="00307C0F" w:rsidRPr="00C81BA0" w:rsidRDefault="00307C0F" w:rsidP="00307C0F">
      <w:pPr>
        <w:numPr>
          <w:ilvl w:val="0"/>
          <w:numId w:val="8"/>
        </w:numPr>
        <w:autoSpaceDE w:val="0"/>
        <w:autoSpaceDN w:val="0"/>
        <w:adjustRightInd w:val="0"/>
        <w:spacing w:line="276" w:lineRule="auto"/>
        <w:jc w:val="both"/>
        <w:rPr>
          <w:lang w:val="en-US"/>
        </w:rPr>
      </w:pPr>
      <w:proofErr w:type="spellStart"/>
      <w:r w:rsidRPr="00C81BA0">
        <w:rPr>
          <w:lang w:val="de-DE"/>
        </w:rPr>
        <w:lastRenderedPageBreak/>
        <w:t>Tuzun</w:t>
      </w:r>
      <w:proofErr w:type="spellEnd"/>
      <w:r w:rsidRPr="00C81BA0">
        <w:rPr>
          <w:lang w:val="de-DE"/>
        </w:rPr>
        <w:t xml:space="preserve"> E, </w:t>
      </w:r>
      <w:proofErr w:type="spellStart"/>
      <w:r w:rsidRPr="00C81BA0">
        <w:rPr>
          <w:lang w:val="de-DE"/>
        </w:rPr>
        <w:t>Berrih-Aknin</w:t>
      </w:r>
      <w:proofErr w:type="spellEnd"/>
      <w:r w:rsidRPr="00C81BA0">
        <w:rPr>
          <w:lang w:val="de-DE"/>
        </w:rPr>
        <w:t xml:space="preserve"> S, Brenner T, et al. </w:t>
      </w:r>
      <w:r w:rsidRPr="00C81BA0">
        <w:rPr>
          <w:lang w:val="en-US"/>
        </w:rPr>
        <w:t xml:space="preserve">Guidelines for standard preclinical experiments in the mouse model of myasthenia gravis induced by acetylcholine receptor immunization. Exp Neurol. </w:t>
      </w:r>
      <w:proofErr w:type="gramStart"/>
      <w:r w:rsidRPr="00C81BA0">
        <w:rPr>
          <w:lang w:val="en-US"/>
        </w:rPr>
        <w:t>2015;270:11</w:t>
      </w:r>
      <w:proofErr w:type="gramEnd"/>
      <w:r w:rsidRPr="00C81BA0">
        <w:rPr>
          <w:lang w:val="en-US"/>
        </w:rPr>
        <w:t xml:space="preserve">-17. </w:t>
      </w:r>
      <w:proofErr w:type="gramStart"/>
      <w:r w:rsidRPr="00C81BA0">
        <w:rPr>
          <w:lang w:val="en-US"/>
        </w:rPr>
        <w:t>doi:10.1016/j.expneurol</w:t>
      </w:r>
      <w:proofErr w:type="gramEnd"/>
      <w:r w:rsidRPr="00C81BA0">
        <w:rPr>
          <w:lang w:val="en-US"/>
        </w:rPr>
        <w:t>.2015.02.009.</w:t>
      </w:r>
    </w:p>
    <w:p w14:paraId="00BE125B" w14:textId="15EEFF77" w:rsidR="00307C0F" w:rsidRDefault="00307C0F" w:rsidP="00307C0F">
      <w:pPr>
        <w:numPr>
          <w:ilvl w:val="0"/>
          <w:numId w:val="8"/>
        </w:numPr>
        <w:autoSpaceDE w:val="0"/>
        <w:autoSpaceDN w:val="0"/>
        <w:adjustRightInd w:val="0"/>
        <w:spacing w:line="276" w:lineRule="auto"/>
        <w:jc w:val="both"/>
        <w:rPr>
          <w:lang w:val="en-US"/>
        </w:rPr>
      </w:pPr>
      <w:proofErr w:type="spellStart"/>
      <w:r w:rsidRPr="00C81BA0">
        <w:rPr>
          <w:lang w:val="en-US"/>
        </w:rPr>
        <w:t>Christadoss</w:t>
      </w:r>
      <w:proofErr w:type="spellEnd"/>
      <w:r w:rsidRPr="00C81BA0">
        <w:rPr>
          <w:lang w:val="en-US"/>
        </w:rPr>
        <w:t xml:space="preserve"> P, Poussin M, Deng C. Animal models of myasthenia gravis. Clin Immunol. 2000;94(2):75-87. doi:10.1006/clim.1999.4807.</w:t>
      </w:r>
    </w:p>
    <w:p w14:paraId="16D2CD95"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Ulusoy C, Çavuş F, Yılmaz V, Tüzün E. Immunization with Recombinantly Expressed LRP4 Induces Experimental Autoimmune Myasthenia Gravis in C57BL/6 Mice. Immunol Invest. 2017;46(5):490-499. doi:10.1080/08820139.2017.1299754.</w:t>
      </w:r>
    </w:p>
    <w:p w14:paraId="30257A2A"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Huda R, Tüzün E, </w:t>
      </w:r>
      <w:proofErr w:type="spellStart"/>
      <w:r w:rsidRPr="00C81BA0">
        <w:rPr>
          <w:lang w:val="en-US"/>
        </w:rPr>
        <w:t>Christadoss</w:t>
      </w:r>
      <w:proofErr w:type="spellEnd"/>
      <w:r w:rsidRPr="00C81BA0">
        <w:rPr>
          <w:lang w:val="en-US"/>
        </w:rPr>
        <w:t xml:space="preserve"> P. Complement C2 siRNA mediated therapy of myasthenia gravis in mice. J </w:t>
      </w:r>
      <w:proofErr w:type="spellStart"/>
      <w:r w:rsidRPr="00C81BA0">
        <w:rPr>
          <w:lang w:val="en-US"/>
        </w:rPr>
        <w:t>Autoimmun</w:t>
      </w:r>
      <w:proofErr w:type="spellEnd"/>
      <w:r w:rsidRPr="00C81BA0">
        <w:rPr>
          <w:lang w:val="en-US"/>
        </w:rPr>
        <w:t xml:space="preserve">. </w:t>
      </w:r>
      <w:proofErr w:type="gramStart"/>
      <w:r w:rsidRPr="00C81BA0">
        <w:rPr>
          <w:lang w:val="en-US"/>
        </w:rPr>
        <w:t>2013;42:94</w:t>
      </w:r>
      <w:proofErr w:type="gramEnd"/>
      <w:r w:rsidRPr="00C81BA0">
        <w:rPr>
          <w:lang w:val="en-US"/>
        </w:rPr>
        <w:t xml:space="preserve">-104. </w:t>
      </w:r>
      <w:proofErr w:type="gramStart"/>
      <w:r w:rsidRPr="00C81BA0">
        <w:rPr>
          <w:lang w:val="en-US"/>
        </w:rPr>
        <w:t>doi:10.1016/j.jaut</w:t>
      </w:r>
      <w:proofErr w:type="gramEnd"/>
      <w:r w:rsidRPr="00C81BA0">
        <w:rPr>
          <w:lang w:val="en-US"/>
        </w:rPr>
        <w:t>.2013.01.003.</w:t>
      </w:r>
    </w:p>
    <w:p w14:paraId="28CC629B"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nl-NL"/>
        </w:rPr>
        <w:t xml:space="preserve">Mori S, Kubo S, Akiyoshi T, et al. </w:t>
      </w:r>
      <w:r w:rsidRPr="00C81BA0">
        <w:rPr>
          <w:lang w:val="en-US"/>
        </w:rPr>
        <w:t xml:space="preserve">Antibodies against muscle-specific kinase impair both presynaptic and postsynaptic functions in a murine model of myasthenia gravis. Am J </w:t>
      </w:r>
      <w:proofErr w:type="spellStart"/>
      <w:r w:rsidRPr="00C81BA0">
        <w:rPr>
          <w:lang w:val="en-US"/>
        </w:rPr>
        <w:t>Pathol</w:t>
      </w:r>
      <w:proofErr w:type="spellEnd"/>
      <w:r w:rsidRPr="00C81BA0">
        <w:rPr>
          <w:lang w:val="en-US"/>
        </w:rPr>
        <w:t xml:space="preserve">. 2012;180(2):798-810. </w:t>
      </w:r>
      <w:proofErr w:type="gramStart"/>
      <w:r w:rsidRPr="00C81BA0">
        <w:rPr>
          <w:lang w:val="en-US"/>
        </w:rPr>
        <w:t>doi:10.1016/j.ajpath</w:t>
      </w:r>
      <w:proofErr w:type="gramEnd"/>
      <w:r w:rsidRPr="00C81BA0">
        <w:rPr>
          <w:lang w:val="en-US"/>
        </w:rPr>
        <w:t>.2011.10.031.</w:t>
      </w:r>
    </w:p>
    <w:p w14:paraId="43EF9F20"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t xml:space="preserve">Li J, Qi H, </w:t>
      </w:r>
      <w:proofErr w:type="spellStart"/>
      <w:r w:rsidRPr="00C81BA0">
        <w:t>Tüzün</w:t>
      </w:r>
      <w:proofErr w:type="spellEnd"/>
      <w:r w:rsidRPr="00C81BA0">
        <w:t xml:space="preserve"> E, et al. </w:t>
      </w:r>
      <w:r w:rsidRPr="00C81BA0">
        <w:rPr>
          <w:lang w:val="en-US"/>
        </w:rPr>
        <w:t xml:space="preserve">Mannose-binding lectin pathway is not involved in myasthenia gravis pathogenesis. J </w:t>
      </w:r>
      <w:proofErr w:type="spellStart"/>
      <w:r w:rsidRPr="00C81BA0">
        <w:rPr>
          <w:lang w:val="en-US"/>
        </w:rPr>
        <w:t>Neuroimmunol</w:t>
      </w:r>
      <w:proofErr w:type="spellEnd"/>
      <w:r w:rsidRPr="00C81BA0">
        <w:rPr>
          <w:lang w:val="en-US"/>
        </w:rPr>
        <w:t xml:space="preserve">. 2009;208(1-2):40-45. </w:t>
      </w:r>
      <w:proofErr w:type="gramStart"/>
      <w:r w:rsidRPr="00C81BA0">
        <w:rPr>
          <w:lang w:val="en-US"/>
        </w:rPr>
        <w:t>doi:10.1016/j.jneuroim</w:t>
      </w:r>
      <w:proofErr w:type="gramEnd"/>
      <w:r w:rsidRPr="00C81BA0">
        <w:rPr>
          <w:lang w:val="en-US"/>
        </w:rPr>
        <w:t>.2008.12.013.</w:t>
      </w:r>
    </w:p>
    <w:p w14:paraId="5AB86368" w14:textId="77777777" w:rsidR="00307C0F" w:rsidRPr="00C81BA0" w:rsidRDefault="00307C0F" w:rsidP="00307C0F">
      <w:pPr>
        <w:numPr>
          <w:ilvl w:val="0"/>
          <w:numId w:val="8"/>
        </w:numPr>
        <w:autoSpaceDE w:val="0"/>
        <w:autoSpaceDN w:val="0"/>
        <w:adjustRightInd w:val="0"/>
        <w:spacing w:line="276" w:lineRule="auto"/>
        <w:jc w:val="both"/>
        <w:rPr>
          <w:lang w:val="en-US"/>
        </w:rPr>
      </w:pPr>
      <w:proofErr w:type="spellStart"/>
      <w:r w:rsidRPr="00C81BA0">
        <w:rPr>
          <w:lang w:val="en-US"/>
        </w:rPr>
        <w:t>Christadoss</w:t>
      </w:r>
      <w:proofErr w:type="spellEnd"/>
      <w:r w:rsidRPr="00C81BA0">
        <w:rPr>
          <w:lang w:val="en-US"/>
        </w:rPr>
        <w:t xml:space="preserve"> P. C5 gene influences the development of murine myasthenia gravis. J Immunol. 1988;140(8):2589-2592.</w:t>
      </w:r>
    </w:p>
    <w:p w14:paraId="6ECA6798"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Lennon VA, Lambert EH. Monoclonal autoantibodies to acetylcholine receptors: evidence for a dominant idiotype and requirement of complement for pathogenicity. Ann N Y </w:t>
      </w:r>
      <w:proofErr w:type="spellStart"/>
      <w:r w:rsidRPr="00C81BA0">
        <w:rPr>
          <w:lang w:val="en-US"/>
        </w:rPr>
        <w:t>Acad</w:t>
      </w:r>
      <w:proofErr w:type="spellEnd"/>
      <w:r w:rsidRPr="00C81BA0">
        <w:rPr>
          <w:lang w:val="en-US"/>
        </w:rPr>
        <w:t xml:space="preserve"> Sci. </w:t>
      </w:r>
      <w:proofErr w:type="gramStart"/>
      <w:r w:rsidRPr="00C81BA0">
        <w:rPr>
          <w:lang w:val="en-US"/>
        </w:rPr>
        <w:t>1981;377:77</w:t>
      </w:r>
      <w:proofErr w:type="gramEnd"/>
      <w:r w:rsidRPr="00C81BA0">
        <w:rPr>
          <w:lang w:val="en-US"/>
        </w:rPr>
        <w:t>-96. doi:10.1111/j.1749-</w:t>
      </w:r>
      <w:proofErr w:type="gramStart"/>
      <w:r w:rsidRPr="00C81BA0">
        <w:rPr>
          <w:lang w:val="en-US"/>
        </w:rPr>
        <w:t>6632.1981.tb</w:t>
      </w:r>
      <w:proofErr w:type="gramEnd"/>
      <w:r w:rsidRPr="00C81BA0">
        <w:rPr>
          <w:lang w:val="en-US"/>
        </w:rPr>
        <w:t>33725.x.</w:t>
      </w:r>
    </w:p>
    <w:p w14:paraId="65F511C0" w14:textId="77777777" w:rsidR="00307C0F" w:rsidRPr="00C81BA0" w:rsidRDefault="00307C0F" w:rsidP="00307C0F">
      <w:pPr>
        <w:numPr>
          <w:ilvl w:val="0"/>
          <w:numId w:val="8"/>
        </w:numPr>
        <w:autoSpaceDE w:val="0"/>
        <w:autoSpaceDN w:val="0"/>
        <w:adjustRightInd w:val="0"/>
        <w:spacing w:line="276" w:lineRule="auto"/>
        <w:jc w:val="both"/>
        <w:rPr>
          <w:lang w:val="en-US"/>
        </w:rPr>
      </w:pPr>
      <w:proofErr w:type="spellStart"/>
      <w:r w:rsidRPr="00C81BA0">
        <w:rPr>
          <w:lang w:val="de-DE"/>
        </w:rPr>
        <w:t>Sahashi</w:t>
      </w:r>
      <w:proofErr w:type="spellEnd"/>
      <w:r w:rsidRPr="00C81BA0">
        <w:rPr>
          <w:lang w:val="de-DE"/>
        </w:rPr>
        <w:t xml:space="preserve"> K, Engel AG, </w:t>
      </w:r>
      <w:proofErr w:type="spellStart"/>
      <w:r w:rsidRPr="00C81BA0">
        <w:rPr>
          <w:lang w:val="de-DE"/>
        </w:rPr>
        <w:t>Linstrom</w:t>
      </w:r>
      <w:proofErr w:type="spellEnd"/>
      <w:r w:rsidRPr="00C81BA0">
        <w:rPr>
          <w:lang w:val="de-DE"/>
        </w:rPr>
        <w:t xml:space="preserve"> JM, Lambert EH, Lennon VA. </w:t>
      </w:r>
      <w:r w:rsidRPr="00C81BA0">
        <w:rPr>
          <w:lang w:val="en-US"/>
        </w:rPr>
        <w:t xml:space="preserve">Ultrastructural localization of immune complexes (IgG and C3) at the </w:t>
      </w:r>
      <w:proofErr w:type="gramStart"/>
      <w:r w:rsidRPr="00C81BA0">
        <w:rPr>
          <w:lang w:val="en-US"/>
        </w:rPr>
        <w:t>end-plate</w:t>
      </w:r>
      <w:proofErr w:type="gramEnd"/>
      <w:r w:rsidRPr="00C81BA0">
        <w:rPr>
          <w:lang w:val="en-US"/>
        </w:rPr>
        <w:t xml:space="preserve"> in experimental autoimmune myasthenia gravis. J </w:t>
      </w:r>
      <w:proofErr w:type="spellStart"/>
      <w:r w:rsidRPr="00C81BA0">
        <w:rPr>
          <w:lang w:val="en-US"/>
        </w:rPr>
        <w:t>Neuropathol</w:t>
      </w:r>
      <w:proofErr w:type="spellEnd"/>
      <w:r w:rsidRPr="00C81BA0">
        <w:rPr>
          <w:lang w:val="en-US"/>
        </w:rPr>
        <w:t xml:space="preserve"> Exp Neurol. 1978;37(2):212-223. doi:10.1097/00005072-197803000-00008.</w:t>
      </w:r>
    </w:p>
    <w:p w14:paraId="05B6E35F" w14:textId="77777777" w:rsidR="00307C0F" w:rsidRDefault="00307C0F" w:rsidP="00307C0F">
      <w:pPr>
        <w:numPr>
          <w:ilvl w:val="0"/>
          <w:numId w:val="8"/>
        </w:numPr>
        <w:autoSpaceDE w:val="0"/>
        <w:autoSpaceDN w:val="0"/>
        <w:adjustRightInd w:val="0"/>
        <w:spacing w:line="276" w:lineRule="auto"/>
        <w:jc w:val="both"/>
        <w:rPr>
          <w:lang w:val="en-US"/>
        </w:rPr>
      </w:pPr>
      <w:r w:rsidRPr="00C81BA0">
        <w:rPr>
          <w:lang w:val="en-US"/>
        </w:rPr>
        <w:t>Morgan BP. Regulation of the complement membrane attack pathway. Crit Rev Immunol. 1999;19(3):173-198.</w:t>
      </w:r>
    </w:p>
    <w:p w14:paraId="543D6736"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Rother RP, Rollins SA, </w:t>
      </w:r>
      <w:proofErr w:type="spellStart"/>
      <w:r w:rsidRPr="00C81BA0">
        <w:rPr>
          <w:lang w:val="en-US"/>
        </w:rPr>
        <w:t>Mojcik</w:t>
      </w:r>
      <w:proofErr w:type="spellEnd"/>
      <w:r w:rsidRPr="00C81BA0">
        <w:rPr>
          <w:lang w:val="en-US"/>
        </w:rPr>
        <w:t xml:space="preserve"> CF, Brodsky RA, Bell L. Discovery and development of the complement inhibitor eculizumab for the treatment of paroxysmal nocturnal hemoglobinuria. Nat </w:t>
      </w:r>
      <w:proofErr w:type="spellStart"/>
      <w:r w:rsidRPr="00C81BA0">
        <w:rPr>
          <w:lang w:val="en-US"/>
        </w:rPr>
        <w:t>Biotechnol</w:t>
      </w:r>
      <w:proofErr w:type="spellEnd"/>
      <w:r w:rsidRPr="00C81BA0">
        <w:rPr>
          <w:lang w:val="en-US"/>
        </w:rPr>
        <w:t>. 2007;25(11):1256-1264. doi:10.1038/nbt1344.</w:t>
      </w:r>
    </w:p>
    <w:p w14:paraId="52AD6931" w14:textId="77777777" w:rsidR="00307C0F"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Thomas TC, Rollins SA, Rother RP, et al. Inhibition of complement activity by humanized anti-C5 antibody and single-chain </w:t>
      </w:r>
      <w:proofErr w:type="spellStart"/>
      <w:r w:rsidRPr="00C81BA0">
        <w:rPr>
          <w:lang w:val="en-US"/>
        </w:rPr>
        <w:t>Fv</w:t>
      </w:r>
      <w:proofErr w:type="spellEnd"/>
      <w:r w:rsidRPr="00C81BA0">
        <w:rPr>
          <w:lang w:val="en-US"/>
        </w:rPr>
        <w:t>. Mol Immunol. 1996;33(17-18):1389-1401. doi:10.1016/s0161-5890(96)00078-8.</w:t>
      </w:r>
    </w:p>
    <w:p w14:paraId="61A97030" w14:textId="77777777" w:rsidR="00307C0F"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Martin PL, </w:t>
      </w:r>
      <w:proofErr w:type="spellStart"/>
      <w:r w:rsidRPr="00C81BA0">
        <w:rPr>
          <w:lang w:val="en-US"/>
        </w:rPr>
        <w:t>Bugelski</w:t>
      </w:r>
      <w:proofErr w:type="spellEnd"/>
      <w:r w:rsidRPr="00C81BA0">
        <w:rPr>
          <w:lang w:val="en-US"/>
        </w:rPr>
        <w:t xml:space="preserve"> PJ. Concordance of preclinical and clinical pharmacology and toxicology of monoclonal antibodies and fusion proteins: soluble targets. Br J </w:t>
      </w:r>
      <w:proofErr w:type="spellStart"/>
      <w:r w:rsidRPr="00C81BA0">
        <w:rPr>
          <w:lang w:val="en-US"/>
        </w:rPr>
        <w:t>Pharmacol</w:t>
      </w:r>
      <w:proofErr w:type="spellEnd"/>
      <w:r w:rsidRPr="00C81BA0">
        <w:rPr>
          <w:lang w:val="en-US"/>
        </w:rPr>
        <w:t>. 2012;166(3):806-822. doi:10.1111/j.1476-5381.2011.</w:t>
      </w:r>
      <w:proofErr w:type="gramStart"/>
      <w:r w:rsidRPr="00C81BA0">
        <w:rPr>
          <w:lang w:val="en-US"/>
        </w:rPr>
        <w:t>01812.x.</w:t>
      </w:r>
      <w:proofErr w:type="gramEnd"/>
    </w:p>
    <w:p w14:paraId="3C41D727"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Soltys J, Kusner LL, Young A, et al. Novel complement inhibitor limits severity of experimentally induced myasthenia gravis. Ann Neurol. 2009;65(1):67-75. doi:10.1002/ana.21536.</w:t>
      </w:r>
    </w:p>
    <w:p w14:paraId="44E7B45B" w14:textId="77777777" w:rsidR="00307C0F" w:rsidRDefault="00307C0F" w:rsidP="00307C0F">
      <w:pPr>
        <w:numPr>
          <w:ilvl w:val="0"/>
          <w:numId w:val="8"/>
        </w:numPr>
        <w:autoSpaceDE w:val="0"/>
        <w:autoSpaceDN w:val="0"/>
        <w:adjustRightInd w:val="0"/>
        <w:spacing w:line="276" w:lineRule="auto"/>
        <w:jc w:val="both"/>
        <w:rPr>
          <w:lang w:val="en-US"/>
        </w:rPr>
      </w:pPr>
      <w:r w:rsidRPr="00C81BA0">
        <w:rPr>
          <w:lang w:val="en-US"/>
        </w:rPr>
        <w:lastRenderedPageBreak/>
        <w:t xml:space="preserve">Zhou Y, Gong B, Lin F, Rother RP, </w:t>
      </w:r>
      <w:proofErr w:type="spellStart"/>
      <w:r w:rsidRPr="00C81BA0">
        <w:rPr>
          <w:lang w:val="en-US"/>
        </w:rPr>
        <w:t>Medof</w:t>
      </w:r>
      <w:proofErr w:type="spellEnd"/>
      <w:r w:rsidRPr="00C81BA0">
        <w:rPr>
          <w:lang w:val="en-US"/>
        </w:rPr>
        <w:t xml:space="preserve"> ME, Kaminski HJ. Anti-C5 antibody treatment ameliorates weakness in experimentally acquired myasthenia gravis. J Immunol. 2007;179(12):8562-8567. doi:10.4049/jimmunol.179.12.8562.</w:t>
      </w:r>
    </w:p>
    <w:p w14:paraId="07FEE1F3" w14:textId="77777777" w:rsidR="00307C0F" w:rsidRDefault="00307C0F" w:rsidP="00307C0F">
      <w:pPr>
        <w:numPr>
          <w:ilvl w:val="0"/>
          <w:numId w:val="8"/>
        </w:numPr>
        <w:autoSpaceDE w:val="0"/>
        <w:autoSpaceDN w:val="0"/>
        <w:adjustRightInd w:val="0"/>
        <w:spacing w:line="276" w:lineRule="auto"/>
        <w:jc w:val="both"/>
        <w:rPr>
          <w:lang w:val="en-US"/>
        </w:rPr>
      </w:pPr>
      <w:r w:rsidRPr="00FB4C45">
        <w:rPr>
          <w:lang w:val="en-US"/>
        </w:rPr>
        <w:t>Dhillon S. Eculizumab: A Review in Generalized Myasthenia Gravis. Drugs. 2018;78(3):367-376. doi:10.1007/s40265-018-0875-9.</w:t>
      </w:r>
    </w:p>
    <w:p w14:paraId="582EE76A" w14:textId="77777777" w:rsidR="00307C0F" w:rsidRDefault="00307C0F" w:rsidP="00307C0F">
      <w:pPr>
        <w:numPr>
          <w:ilvl w:val="0"/>
          <w:numId w:val="8"/>
        </w:numPr>
        <w:autoSpaceDE w:val="0"/>
        <w:autoSpaceDN w:val="0"/>
        <w:adjustRightInd w:val="0"/>
        <w:spacing w:line="276" w:lineRule="auto"/>
        <w:jc w:val="both"/>
        <w:rPr>
          <w:lang w:val="en-US"/>
        </w:rPr>
      </w:pPr>
      <w:r>
        <w:rPr>
          <w:lang w:val="en-US"/>
        </w:rPr>
        <w:t xml:space="preserve">Food and Drug Administration. </w:t>
      </w:r>
      <w:r w:rsidRPr="00FB4C45">
        <w:rPr>
          <w:lang w:val="en-US"/>
        </w:rPr>
        <w:t xml:space="preserve">FDA Background Package </w:t>
      </w:r>
      <w:proofErr w:type="gramStart"/>
      <w:r w:rsidRPr="00FB4C45">
        <w:rPr>
          <w:lang w:val="en-US"/>
        </w:rPr>
        <w:t>For</w:t>
      </w:r>
      <w:proofErr w:type="gramEnd"/>
      <w:r w:rsidRPr="00FB4C45">
        <w:rPr>
          <w:lang w:val="en-US"/>
        </w:rPr>
        <w:t xml:space="preserve"> Meeting of Drug Safety and Risk Management Advisory Committee (</w:t>
      </w:r>
      <w:proofErr w:type="spellStart"/>
      <w:r w:rsidRPr="00FB4C45">
        <w:rPr>
          <w:lang w:val="en-US"/>
        </w:rPr>
        <w:t>DSaRM</w:t>
      </w:r>
      <w:proofErr w:type="spellEnd"/>
      <w:r w:rsidRPr="00FB4C45">
        <w:rPr>
          <w:lang w:val="en-US"/>
        </w:rPr>
        <w:t>)</w:t>
      </w:r>
      <w:r>
        <w:rPr>
          <w:lang w:val="en-US"/>
        </w:rPr>
        <w:t xml:space="preserve"> -</w:t>
      </w:r>
      <w:r w:rsidRPr="00FB4C45">
        <w:rPr>
          <w:lang w:val="en-US"/>
        </w:rPr>
        <w:t xml:space="preserve"> Soliris (eculizumab)</w:t>
      </w:r>
      <w:r>
        <w:rPr>
          <w:lang w:val="en-US"/>
        </w:rPr>
        <w:t xml:space="preserve">. 2014. Available from </w:t>
      </w:r>
      <w:hyperlink r:id="rId8" w:history="1">
        <w:r w:rsidRPr="00D62683">
          <w:rPr>
            <w:rStyle w:val="Collegamentoipertestuale"/>
            <w:lang w:val="en-US"/>
          </w:rPr>
          <w:t>https://wayback.archive-it.org/7993/20170405213759/https:/www.fda.gov/downloads/AdvisoryCommittees/CommitteesMeetingMaterials/Drugs/DrugSafetyandRiskManagementAdvisoryCommittee/UCM423030.pdf</w:t>
        </w:r>
      </w:hyperlink>
      <w:r>
        <w:rPr>
          <w:lang w:val="en-US"/>
        </w:rPr>
        <w:t>. Last accessed: 27 November 2023</w:t>
      </w:r>
    </w:p>
    <w:p w14:paraId="1A70B9EF" w14:textId="77777777" w:rsidR="00307C0F" w:rsidRDefault="00307C0F" w:rsidP="00307C0F">
      <w:pPr>
        <w:numPr>
          <w:ilvl w:val="0"/>
          <w:numId w:val="8"/>
        </w:numPr>
        <w:autoSpaceDE w:val="0"/>
        <w:autoSpaceDN w:val="0"/>
        <w:adjustRightInd w:val="0"/>
        <w:spacing w:line="276" w:lineRule="auto"/>
        <w:jc w:val="both"/>
        <w:rPr>
          <w:lang w:val="en-US"/>
        </w:rPr>
      </w:pPr>
      <w:r>
        <w:rPr>
          <w:lang w:val="en-US"/>
        </w:rPr>
        <w:t xml:space="preserve"> </w:t>
      </w:r>
      <w:r w:rsidRPr="00C81BA0">
        <w:rPr>
          <w:lang w:val="en-US"/>
        </w:rPr>
        <w:t xml:space="preserve">Howard Jr JF, </w:t>
      </w:r>
      <w:proofErr w:type="spellStart"/>
      <w:r w:rsidRPr="00C81BA0">
        <w:rPr>
          <w:lang w:val="en-US"/>
        </w:rPr>
        <w:t>Utsugisawa</w:t>
      </w:r>
      <w:proofErr w:type="spellEnd"/>
      <w:r w:rsidRPr="00C81BA0">
        <w:rPr>
          <w:lang w:val="en-US"/>
        </w:rPr>
        <w:t xml:space="preserve"> K, Benatar M, et al. Safety and efficacy of eculizumab in anti-acetylcholine receptor antibody-positive refractory generalized myasthenia gravis (REGAIN): a phase 3, randomized, double-blind, placebo-controlled, multicenter study [published correction appears in Lancet Neurol. 2017 Dec;16(12):954]. Lancet Neurol. 2017;16(12):976-986. doi:10.1016/S1474-4422(17)30369-1.</w:t>
      </w:r>
    </w:p>
    <w:p w14:paraId="7199B2EE" w14:textId="77777777" w:rsidR="00307C0F"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Muppidi S, </w:t>
      </w:r>
      <w:proofErr w:type="spellStart"/>
      <w:r w:rsidRPr="00C81BA0">
        <w:rPr>
          <w:lang w:val="en-US"/>
        </w:rPr>
        <w:t>Utsugisawa</w:t>
      </w:r>
      <w:proofErr w:type="spellEnd"/>
      <w:r w:rsidRPr="00C81BA0">
        <w:rPr>
          <w:lang w:val="en-US"/>
        </w:rPr>
        <w:t xml:space="preserve"> K, Benatar M, et al. Long-term safety and efficacy of eculizumab in generalized myasthenia gravis. Muscle Nerve. 2019;60(1):14-24. doi:10.1002/mus.26447.</w:t>
      </w:r>
    </w:p>
    <w:p w14:paraId="30723BA3" w14:textId="77777777" w:rsidR="00307C0F" w:rsidRDefault="00307C0F" w:rsidP="00307C0F">
      <w:pPr>
        <w:numPr>
          <w:ilvl w:val="0"/>
          <w:numId w:val="8"/>
        </w:numPr>
        <w:autoSpaceDE w:val="0"/>
        <w:autoSpaceDN w:val="0"/>
        <w:adjustRightInd w:val="0"/>
        <w:spacing w:line="276" w:lineRule="auto"/>
        <w:jc w:val="both"/>
        <w:rPr>
          <w:lang w:val="en-US"/>
        </w:rPr>
      </w:pPr>
      <w:r w:rsidRPr="00104727">
        <w:rPr>
          <w:lang w:val="en-US"/>
        </w:rPr>
        <w:t xml:space="preserve">Katyal N, Narula N, Govindarajan R. Clinical Experience with Eculizumab in Treatment-Refractory Acetylcholine Receptor Antibody-Positive Generalized Myasthenia Gravis. J </w:t>
      </w:r>
      <w:proofErr w:type="spellStart"/>
      <w:r w:rsidRPr="00104727">
        <w:rPr>
          <w:lang w:val="en-US"/>
        </w:rPr>
        <w:t>Neuromuscul</w:t>
      </w:r>
      <w:proofErr w:type="spellEnd"/>
      <w:r w:rsidRPr="00104727">
        <w:rPr>
          <w:lang w:val="en-US"/>
        </w:rPr>
        <w:t xml:space="preserve"> Dis. 2021;8(2):287-294. doi:10.3233/JND-200584</w:t>
      </w:r>
    </w:p>
    <w:p w14:paraId="2966BAB3" w14:textId="77777777" w:rsidR="00307C0F" w:rsidRDefault="00307C0F" w:rsidP="00307C0F">
      <w:pPr>
        <w:numPr>
          <w:ilvl w:val="0"/>
          <w:numId w:val="8"/>
        </w:numPr>
        <w:autoSpaceDE w:val="0"/>
        <w:autoSpaceDN w:val="0"/>
        <w:adjustRightInd w:val="0"/>
        <w:spacing w:line="276" w:lineRule="auto"/>
        <w:jc w:val="both"/>
        <w:rPr>
          <w:lang w:val="en-US"/>
        </w:rPr>
      </w:pPr>
      <w:r w:rsidRPr="00104727">
        <w:rPr>
          <w:lang w:val="en-US"/>
        </w:rPr>
        <w:t xml:space="preserve">Murai H, Suzuki S, Hasebe M, </w:t>
      </w:r>
      <w:proofErr w:type="spellStart"/>
      <w:r w:rsidRPr="00104727">
        <w:rPr>
          <w:lang w:val="en-US"/>
        </w:rPr>
        <w:t>Fukamizu</w:t>
      </w:r>
      <w:proofErr w:type="spellEnd"/>
      <w:r w:rsidRPr="00104727">
        <w:rPr>
          <w:lang w:val="en-US"/>
        </w:rPr>
        <w:t xml:space="preserve"> Y, Rodrigues E, </w:t>
      </w:r>
      <w:proofErr w:type="spellStart"/>
      <w:r w:rsidRPr="00104727">
        <w:rPr>
          <w:lang w:val="en-US"/>
        </w:rPr>
        <w:t>Utsugisawa</w:t>
      </w:r>
      <w:proofErr w:type="spellEnd"/>
      <w:r w:rsidRPr="00104727">
        <w:rPr>
          <w:lang w:val="en-US"/>
        </w:rPr>
        <w:t xml:space="preserve"> K. Safety and effectiveness of eculizumab in Japanese patients with generalized myasthenia gravis: interim analysis of post-marketing surveillance. Ther Adv Neurol </w:t>
      </w:r>
      <w:proofErr w:type="spellStart"/>
      <w:r w:rsidRPr="00104727">
        <w:rPr>
          <w:lang w:val="en-US"/>
        </w:rPr>
        <w:t>Disord</w:t>
      </w:r>
      <w:proofErr w:type="spellEnd"/>
      <w:r w:rsidRPr="00104727">
        <w:rPr>
          <w:lang w:val="en-US"/>
        </w:rPr>
        <w:t xml:space="preserve">. </w:t>
      </w:r>
      <w:proofErr w:type="gramStart"/>
      <w:r w:rsidRPr="00104727">
        <w:rPr>
          <w:lang w:val="en-US"/>
        </w:rPr>
        <w:t>2021;14:17562864211001995</w:t>
      </w:r>
      <w:proofErr w:type="gramEnd"/>
      <w:r w:rsidRPr="00104727">
        <w:rPr>
          <w:lang w:val="en-US"/>
        </w:rPr>
        <w:t>.</w:t>
      </w:r>
    </w:p>
    <w:p w14:paraId="651540BD" w14:textId="77777777" w:rsidR="00307C0F" w:rsidRDefault="00307C0F" w:rsidP="00307C0F">
      <w:pPr>
        <w:numPr>
          <w:ilvl w:val="0"/>
          <w:numId w:val="8"/>
        </w:numPr>
        <w:autoSpaceDE w:val="0"/>
        <w:autoSpaceDN w:val="0"/>
        <w:adjustRightInd w:val="0"/>
        <w:spacing w:line="276" w:lineRule="auto"/>
        <w:jc w:val="both"/>
        <w:rPr>
          <w:lang w:val="en-US"/>
        </w:rPr>
      </w:pPr>
      <w:r w:rsidRPr="00104727">
        <w:rPr>
          <w:lang w:val="en-US"/>
        </w:rPr>
        <w:t xml:space="preserve">Nelke C, Schroeter CB, </w:t>
      </w:r>
      <w:proofErr w:type="spellStart"/>
      <w:r w:rsidRPr="00104727">
        <w:rPr>
          <w:lang w:val="en-US"/>
        </w:rPr>
        <w:t>Stascheit</w:t>
      </w:r>
      <w:proofErr w:type="spellEnd"/>
      <w:r w:rsidRPr="00104727">
        <w:rPr>
          <w:lang w:val="en-US"/>
        </w:rPr>
        <w:t xml:space="preserve"> F, et al. Eculizumab versus rituximab in </w:t>
      </w:r>
      <w:proofErr w:type="spellStart"/>
      <w:r w:rsidRPr="00104727">
        <w:rPr>
          <w:lang w:val="en-US"/>
        </w:rPr>
        <w:t>generalised</w:t>
      </w:r>
      <w:proofErr w:type="spellEnd"/>
      <w:r w:rsidRPr="00104727">
        <w:rPr>
          <w:lang w:val="en-US"/>
        </w:rPr>
        <w:t xml:space="preserve"> myasthenia gravis. J Neurol </w:t>
      </w:r>
      <w:proofErr w:type="spellStart"/>
      <w:r w:rsidRPr="00104727">
        <w:rPr>
          <w:lang w:val="en-US"/>
        </w:rPr>
        <w:t>Neurosurg</w:t>
      </w:r>
      <w:proofErr w:type="spellEnd"/>
      <w:r w:rsidRPr="00104727">
        <w:rPr>
          <w:lang w:val="en-US"/>
        </w:rPr>
        <w:t xml:space="preserve"> Psychiatry. 2022;93(5):548-554. doi:10.1136/jnnp-2021-328665</w:t>
      </w:r>
    </w:p>
    <w:p w14:paraId="7B617915" w14:textId="77777777" w:rsidR="00307C0F"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Lee JW, Sicre de </w:t>
      </w:r>
      <w:proofErr w:type="spellStart"/>
      <w:r w:rsidRPr="00C81BA0">
        <w:rPr>
          <w:lang w:val="en-US"/>
        </w:rPr>
        <w:t>Fontbrune</w:t>
      </w:r>
      <w:proofErr w:type="spellEnd"/>
      <w:r w:rsidRPr="00C81BA0">
        <w:rPr>
          <w:lang w:val="en-US"/>
        </w:rPr>
        <w:t xml:space="preserve"> F, Wong Lee </w:t>
      </w:r>
      <w:proofErr w:type="spellStart"/>
      <w:r w:rsidRPr="00C81BA0">
        <w:rPr>
          <w:lang w:val="en-US"/>
        </w:rPr>
        <w:t>Lee</w:t>
      </w:r>
      <w:proofErr w:type="spellEnd"/>
      <w:r w:rsidRPr="00C81BA0">
        <w:rPr>
          <w:lang w:val="en-US"/>
        </w:rPr>
        <w:t xml:space="preserve"> L, et al. </w:t>
      </w:r>
      <w:proofErr w:type="spellStart"/>
      <w:r w:rsidRPr="00C81BA0">
        <w:rPr>
          <w:lang w:val="en-US"/>
        </w:rPr>
        <w:t>Ravulizumab</w:t>
      </w:r>
      <w:proofErr w:type="spellEnd"/>
      <w:r w:rsidRPr="00C81BA0">
        <w:rPr>
          <w:lang w:val="en-US"/>
        </w:rPr>
        <w:t xml:space="preserve"> (ALXN1210) vs eculizumab in adult patients with PNH naive to complement inhibitors: the 301 study. Blood. 2019;133(6):530-539. doi:10.1182/blood-2018-09-876136.</w:t>
      </w:r>
    </w:p>
    <w:p w14:paraId="656F2671"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fr-FR"/>
        </w:rPr>
        <w:t xml:space="preserve">Sheridan D, Yu ZX, Zhang Y, et al. </w:t>
      </w:r>
      <w:r w:rsidRPr="00C81BA0">
        <w:rPr>
          <w:lang w:val="en-US"/>
        </w:rPr>
        <w:t xml:space="preserve">Design and preclinical characterization of ALXN1210: A novel anti-C5 antibody with extended duration of action. </w:t>
      </w:r>
      <w:proofErr w:type="spellStart"/>
      <w:r w:rsidRPr="00C81BA0">
        <w:rPr>
          <w:lang w:val="en-US"/>
        </w:rPr>
        <w:t>PLoS</w:t>
      </w:r>
      <w:proofErr w:type="spellEnd"/>
      <w:r w:rsidRPr="00C81BA0">
        <w:rPr>
          <w:lang w:val="en-US"/>
        </w:rPr>
        <w:t xml:space="preserve"> One. 2018;13(4</w:t>
      </w:r>
      <w:proofErr w:type="gramStart"/>
      <w:r w:rsidRPr="00C81BA0">
        <w:rPr>
          <w:lang w:val="en-US"/>
        </w:rPr>
        <w:t>):e</w:t>
      </w:r>
      <w:proofErr w:type="gramEnd"/>
      <w:r w:rsidRPr="00C81BA0">
        <w:rPr>
          <w:lang w:val="en-US"/>
        </w:rPr>
        <w:t xml:space="preserve">0195909. </w:t>
      </w:r>
      <w:proofErr w:type="gramStart"/>
      <w:r w:rsidRPr="00C81BA0">
        <w:rPr>
          <w:lang w:val="en-US"/>
        </w:rPr>
        <w:t>doi:10.1371/journal.pone</w:t>
      </w:r>
      <w:proofErr w:type="gramEnd"/>
      <w:r w:rsidRPr="00C81BA0">
        <w:rPr>
          <w:lang w:val="en-US"/>
        </w:rPr>
        <w:t>.0195909.</w:t>
      </w:r>
    </w:p>
    <w:p w14:paraId="7422BB27" w14:textId="77777777" w:rsidR="00307C0F" w:rsidRDefault="00307C0F" w:rsidP="00307C0F">
      <w:pPr>
        <w:numPr>
          <w:ilvl w:val="0"/>
          <w:numId w:val="8"/>
        </w:numPr>
        <w:autoSpaceDE w:val="0"/>
        <w:autoSpaceDN w:val="0"/>
        <w:adjustRightInd w:val="0"/>
        <w:spacing w:line="276" w:lineRule="auto"/>
        <w:jc w:val="both"/>
        <w:rPr>
          <w:lang w:val="en-US"/>
        </w:rPr>
      </w:pPr>
      <w:r>
        <w:rPr>
          <w:lang w:val="en-US"/>
        </w:rPr>
        <w:t xml:space="preserve">FDA. Summary of Product Characteristics of </w:t>
      </w:r>
      <w:proofErr w:type="spellStart"/>
      <w:r>
        <w:rPr>
          <w:lang w:val="en-US"/>
        </w:rPr>
        <w:t>Ultomiris</w:t>
      </w:r>
      <w:proofErr w:type="spellEnd"/>
      <w:r>
        <w:rPr>
          <w:lang w:val="en-US"/>
        </w:rPr>
        <w:t xml:space="preserve">. Available at: </w:t>
      </w:r>
      <w:hyperlink r:id="rId9" w:history="1">
        <w:r w:rsidRPr="00D62683">
          <w:rPr>
            <w:rStyle w:val="Collegamentoipertestuale"/>
            <w:lang w:val="en-US"/>
          </w:rPr>
          <w:t>https://www.accessdata.fda.gov/drugsatfda_docs/label/2022/761108s023lbl.pdf</w:t>
        </w:r>
      </w:hyperlink>
    </w:p>
    <w:p w14:paraId="7372BBE7"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McKeage K. </w:t>
      </w:r>
      <w:proofErr w:type="spellStart"/>
      <w:r w:rsidRPr="00C81BA0">
        <w:rPr>
          <w:lang w:val="en-US"/>
        </w:rPr>
        <w:t>Ravulizumab</w:t>
      </w:r>
      <w:proofErr w:type="spellEnd"/>
      <w:r w:rsidRPr="00C81BA0">
        <w:rPr>
          <w:lang w:val="en-US"/>
        </w:rPr>
        <w:t>: First Global Approval. Drugs. 2019;79(3):347-352. doi:10.1007/s40265-019-01068-2.</w:t>
      </w:r>
    </w:p>
    <w:p w14:paraId="139F8D20"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fr-FR"/>
        </w:rPr>
        <w:t xml:space="preserve">Vu T, </w:t>
      </w:r>
      <w:proofErr w:type="spellStart"/>
      <w:r w:rsidRPr="00C81BA0">
        <w:rPr>
          <w:lang w:val="fr-FR"/>
        </w:rPr>
        <w:t>Meisel</w:t>
      </w:r>
      <w:proofErr w:type="spellEnd"/>
      <w:r w:rsidRPr="00C81BA0">
        <w:rPr>
          <w:lang w:val="fr-FR"/>
        </w:rPr>
        <w:t xml:space="preserve"> A, </w:t>
      </w:r>
      <w:proofErr w:type="spellStart"/>
      <w:r w:rsidRPr="00C81BA0">
        <w:rPr>
          <w:lang w:val="fr-FR"/>
        </w:rPr>
        <w:t>Mantegazza</w:t>
      </w:r>
      <w:proofErr w:type="spellEnd"/>
      <w:r w:rsidRPr="00C81BA0">
        <w:rPr>
          <w:lang w:val="fr-FR"/>
        </w:rPr>
        <w:t xml:space="preserve"> R, et al. </w:t>
      </w:r>
      <w:r w:rsidRPr="00C81BA0">
        <w:rPr>
          <w:lang w:val="en-US"/>
        </w:rPr>
        <w:t xml:space="preserve">Summary of Research: Terminal Complement Inhibitor </w:t>
      </w:r>
      <w:proofErr w:type="spellStart"/>
      <w:r w:rsidRPr="00C81BA0">
        <w:rPr>
          <w:lang w:val="en-US"/>
        </w:rPr>
        <w:t>Ravulizumab</w:t>
      </w:r>
      <w:proofErr w:type="spellEnd"/>
      <w:r w:rsidRPr="00C81BA0">
        <w:rPr>
          <w:lang w:val="en-US"/>
        </w:rPr>
        <w:t xml:space="preserve"> in Generalized Myasthenia Gravis. Neurology and Therapy. Advance online publication. 2023. doi:10.1007/s40120-023-00514-4.</w:t>
      </w:r>
    </w:p>
    <w:p w14:paraId="6AF5B002" w14:textId="77777777" w:rsidR="00307C0F" w:rsidRPr="00C81BA0" w:rsidRDefault="00307C0F" w:rsidP="00307C0F">
      <w:pPr>
        <w:numPr>
          <w:ilvl w:val="0"/>
          <w:numId w:val="8"/>
        </w:numPr>
        <w:autoSpaceDE w:val="0"/>
        <w:autoSpaceDN w:val="0"/>
        <w:adjustRightInd w:val="0"/>
        <w:spacing w:line="276" w:lineRule="auto"/>
        <w:jc w:val="both"/>
        <w:rPr>
          <w:lang w:val="en-US"/>
        </w:rPr>
      </w:pPr>
      <w:proofErr w:type="spellStart"/>
      <w:r w:rsidRPr="00C81BA0">
        <w:rPr>
          <w:lang w:val="fr-FR"/>
        </w:rPr>
        <w:lastRenderedPageBreak/>
        <w:t>Meisel</w:t>
      </w:r>
      <w:proofErr w:type="spellEnd"/>
      <w:r w:rsidRPr="00C81BA0">
        <w:rPr>
          <w:lang w:val="fr-FR"/>
        </w:rPr>
        <w:t xml:space="preserve"> A, </w:t>
      </w:r>
      <w:proofErr w:type="spellStart"/>
      <w:r w:rsidRPr="00C81BA0">
        <w:rPr>
          <w:lang w:val="fr-FR"/>
        </w:rPr>
        <w:t>Annane</w:t>
      </w:r>
      <w:proofErr w:type="spellEnd"/>
      <w:r w:rsidRPr="00C81BA0">
        <w:rPr>
          <w:lang w:val="fr-FR"/>
        </w:rPr>
        <w:t xml:space="preserve"> D, Vu T, et al. </w:t>
      </w:r>
      <w:r w:rsidRPr="00C81BA0">
        <w:rPr>
          <w:lang w:val="en-US"/>
        </w:rPr>
        <w:t xml:space="preserve">Long-term efficacy and safety of </w:t>
      </w:r>
      <w:proofErr w:type="spellStart"/>
      <w:r w:rsidRPr="00C81BA0">
        <w:rPr>
          <w:lang w:val="en-US"/>
        </w:rPr>
        <w:t>ravulizumab</w:t>
      </w:r>
      <w:proofErr w:type="spellEnd"/>
      <w:r w:rsidRPr="00C81BA0">
        <w:rPr>
          <w:lang w:val="en-US"/>
        </w:rPr>
        <w:t xml:space="preserve"> in adults with anti-acetylcholine receptor antibody-positive generalized myasthenia gravis: results from the phase 3 CHAMPION MG open-label extension. J Neurol. 2023;270(8):3862-3875. doi:10.1007/s00415-023-11699-x.</w:t>
      </w:r>
    </w:p>
    <w:p w14:paraId="6E6E1D15"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Heo YA. Efgartigimod: First Approval [published correction appears in Drugs. 2022 Apr;82(5):611]. Drugs. 2022;82(3):341-348. doi:10.1007/s40265-022-01678-3.</w:t>
      </w:r>
    </w:p>
    <w:p w14:paraId="115E9F40" w14:textId="77777777" w:rsidR="00307C0F" w:rsidRPr="00C81BA0" w:rsidRDefault="00307C0F" w:rsidP="00307C0F">
      <w:pPr>
        <w:numPr>
          <w:ilvl w:val="0"/>
          <w:numId w:val="8"/>
        </w:numPr>
        <w:autoSpaceDE w:val="0"/>
        <w:autoSpaceDN w:val="0"/>
        <w:adjustRightInd w:val="0"/>
        <w:spacing w:line="276" w:lineRule="auto"/>
        <w:jc w:val="both"/>
        <w:rPr>
          <w:lang w:val="en-US"/>
        </w:rPr>
      </w:pPr>
      <w:proofErr w:type="spellStart"/>
      <w:r w:rsidRPr="00C81BA0">
        <w:t>Liu</w:t>
      </w:r>
      <w:proofErr w:type="spellEnd"/>
      <w:r w:rsidRPr="00C81BA0">
        <w:t xml:space="preserve"> L, Garcia AM, Santoro H, et al. </w:t>
      </w:r>
      <w:r w:rsidRPr="00C81BA0">
        <w:rPr>
          <w:lang w:val="en-US"/>
        </w:rPr>
        <w:t xml:space="preserve">Amelioration of experimental autoimmune myasthenia gravis in rats by neonatal </w:t>
      </w:r>
      <w:proofErr w:type="spellStart"/>
      <w:r w:rsidRPr="00C81BA0">
        <w:rPr>
          <w:lang w:val="en-US"/>
        </w:rPr>
        <w:t>FcR</w:t>
      </w:r>
      <w:proofErr w:type="spellEnd"/>
      <w:r w:rsidRPr="00C81BA0">
        <w:rPr>
          <w:lang w:val="en-US"/>
        </w:rPr>
        <w:t xml:space="preserve"> blockade. J Immunol. 2007;178(8):5390-5398. doi:10.4049/jimmunol.178.8.5390.</w:t>
      </w:r>
    </w:p>
    <w:p w14:paraId="76100E06"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de-DE"/>
        </w:rPr>
        <w:t xml:space="preserve">Dos Santos JBR, Gomes RM, da Silva MRR. </w:t>
      </w:r>
      <w:proofErr w:type="spellStart"/>
      <w:r w:rsidRPr="00C81BA0">
        <w:rPr>
          <w:lang w:val="en-US"/>
        </w:rPr>
        <w:t>Abdeg</w:t>
      </w:r>
      <w:proofErr w:type="spellEnd"/>
      <w:r w:rsidRPr="00C81BA0">
        <w:rPr>
          <w:lang w:val="en-US"/>
        </w:rPr>
        <w:t xml:space="preserve"> technology for the treatment of myasthenia gravis: efgartigimod drug experience. Expert Rev Clin Immunol. 2022;18(9):879-888. doi:10.1080/1744666X.2022.2106972.</w:t>
      </w:r>
    </w:p>
    <w:p w14:paraId="60F6E9B9"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t xml:space="preserve">Smith B, </w:t>
      </w:r>
      <w:proofErr w:type="spellStart"/>
      <w:r w:rsidRPr="00C81BA0">
        <w:t>Kiessling</w:t>
      </w:r>
      <w:proofErr w:type="spellEnd"/>
      <w:r w:rsidRPr="00C81BA0">
        <w:t xml:space="preserve"> A, </w:t>
      </w:r>
      <w:proofErr w:type="spellStart"/>
      <w:r w:rsidRPr="00C81BA0">
        <w:t>Lledo</w:t>
      </w:r>
      <w:proofErr w:type="spellEnd"/>
      <w:r w:rsidRPr="00C81BA0">
        <w:t xml:space="preserve">-Garcia R, et al. </w:t>
      </w:r>
      <w:r w:rsidRPr="00C81BA0">
        <w:rPr>
          <w:lang w:val="en-US"/>
        </w:rPr>
        <w:t xml:space="preserve">Generation and characterization of a high affinity anti-human FcRn antibody, </w:t>
      </w:r>
      <w:proofErr w:type="spellStart"/>
      <w:r w:rsidRPr="00C81BA0">
        <w:rPr>
          <w:lang w:val="en-US"/>
        </w:rPr>
        <w:t>rozanolixizumab</w:t>
      </w:r>
      <w:proofErr w:type="spellEnd"/>
      <w:r w:rsidRPr="00C81BA0">
        <w:rPr>
          <w:lang w:val="en-US"/>
        </w:rPr>
        <w:t xml:space="preserve">, and the effects of different molecular formats on the reduction of plasma IgG concentration. </w:t>
      </w:r>
      <w:proofErr w:type="spellStart"/>
      <w:r w:rsidRPr="00C81BA0">
        <w:rPr>
          <w:lang w:val="en-US"/>
        </w:rPr>
        <w:t>mAbs</w:t>
      </w:r>
      <w:proofErr w:type="spellEnd"/>
      <w:r w:rsidRPr="00C81BA0">
        <w:rPr>
          <w:lang w:val="en-US"/>
        </w:rPr>
        <w:t>. 2018;10(7):1111-1130. doi:10.1080/19420862.2018.1505464.</w:t>
      </w:r>
    </w:p>
    <w:p w14:paraId="7B714D9F" w14:textId="77777777" w:rsidR="00307C0F" w:rsidRPr="00C81BA0" w:rsidRDefault="00307C0F" w:rsidP="00307C0F">
      <w:pPr>
        <w:numPr>
          <w:ilvl w:val="0"/>
          <w:numId w:val="8"/>
        </w:numPr>
        <w:autoSpaceDE w:val="0"/>
        <w:autoSpaceDN w:val="0"/>
        <w:adjustRightInd w:val="0"/>
        <w:spacing w:line="276" w:lineRule="auto"/>
        <w:jc w:val="both"/>
        <w:rPr>
          <w:lang w:val="en-US"/>
        </w:rPr>
      </w:pPr>
      <w:proofErr w:type="spellStart"/>
      <w:r w:rsidRPr="00C81BA0">
        <w:rPr>
          <w:lang w:val="fr-FR"/>
        </w:rPr>
        <w:t>Ulrichts</w:t>
      </w:r>
      <w:proofErr w:type="spellEnd"/>
      <w:r w:rsidRPr="00C81BA0">
        <w:rPr>
          <w:lang w:val="fr-FR"/>
        </w:rPr>
        <w:t xml:space="preserve"> P, </w:t>
      </w:r>
      <w:proofErr w:type="spellStart"/>
      <w:r w:rsidRPr="00C81BA0">
        <w:rPr>
          <w:lang w:val="fr-FR"/>
        </w:rPr>
        <w:t>Guglietta</w:t>
      </w:r>
      <w:proofErr w:type="spellEnd"/>
      <w:r w:rsidRPr="00C81BA0">
        <w:rPr>
          <w:lang w:val="fr-FR"/>
        </w:rPr>
        <w:t xml:space="preserve"> A, </w:t>
      </w:r>
      <w:proofErr w:type="spellStart"/>
      <w:r w:rsidRPr="00C81BA0">
        <w:rPr>
          <w:lang w:val="fr-FR"/>
        </w:rPr>
        <w:t>Dreier</w:t>
      </w:r>
      <w:proofErr w:type="spellEnd"/>
      <w:r w:rsidRPr="00C81BA0">
        <w:rPr>
          <w:lang w:val="fr-FR"/>
        </w:rPr>
        <w:t xml:space="preserve"> T, et al. </w:t>
      </w:r>
      <w:r w:rsidRPr="00C81BA0">
        <w:rPr>
          <w:lang w:val="en-US"/>
        </w:rPr>
        <w:t xml:space="preserve">Neonatal Fc receptor antagonist efgartigimod safely and sustainably reduces </w:t>
      </w:r>
      <w:proofErr w:type="spellStart"/>
      <w:r w:rsidRPr="00C81BA0">
        <w:rPr>
          <w:lang w:val="en-US"/>
        </w:rPr>
        <w:t>IgGs</w:t>
      </w:r>
      <w:proofErr w:type="spellEnd"/>
      <w:r w:rsidRPr="00C81BA0">
        <w:rPr>
          <w:lang w:val="en-US"/>
        </w:rPr>
        <w:t xml:space="preserve"> in humans. J Clin Invest. 2018;128(10):4372-4386. doi:10.1172/JCI97911.</w:t>
      </w:r>
    </w:p>
    <w:p w14:paraId="44BBD0C9"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fr-FR"/>
        </w:rPr>
        <w:t xml:space="preserve">Nixon AE, Chen J, Sexton DJ, et al. </w:t>
      </w:r>
      <w:r w:rsidRPr="00C81BA0">
        <w:rPr>
          <w:lang w:val="en-US"/>
        </w:rPr>
        <w:t xml:space="preserve">Fully human monoclonal antibody inhibitors of the neonatal fc receptor reduce circulating IgG in non-human primates. Front Immunol. </w:t>
      </w:r>
      <w:proofErr w:type="gramStart"/>
      <w:r w:rsidRPr="00C81BA0">
        <w:rPr>
          <w:lang w:val="en-US"/>
        </w:rPr>
        <w:t>2015;6:176</w:t>
      </w:r>
      <w:proofErr w:type="gramEnd"/>
      <w:r w:rsidRPr="00C81BA0">
        <w:rPr>
          <w:lang w:val="en-US"/>
        </w:rPr>
        <w:t>. doi:10.3389/fimmu.2015.00176.</w:t>
      </w:r>
    </w:p>
    <w:p w14:paraId="74458AF4"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nl-NL"/>
        </w:rPr>
        <w:t xml:space="preserve">Huijbers MG, Plomp JJ, van Es IE, et al. </w:t>
      </w:r>
      <w:r w:rsidRPr="00C81BA0">
        <w:rPr>
          <w:lang w:val="en-US"/>
        </w:rPr>
        <w:t xml:space="preserve">Efgartigimod improves muscle weakness in a mouse model for muscle-specific kinase myasthenia gravis. Exp Neurol. </w:t>
      </w:r>
      <w:proofErr w:type="gramStart"/>
      <w:r w:rsidRPr="00C81BA0">
        <w:rPr>
          <w:lang w:val="en-US"/>
        </w:rPr>
        <w:t>2019;317:133</w:t>
      </w:r>
      <w:proofErr w:type="gramEnd"/>
      <w:r w:rsidRPr="00C81BA0">
        <w:rPr>
          <w:lang w:val="en-US"/>
        </w:rPr>
        <w:t xml:space="preserve">-143. </w:t>
      </w:r>
      <w:proofErr w:type="gramStart"/>
      <w:r w:rsidRPr="00C81BA0">
        <w:rPr>
          <w:lang w:val="en-US"/>
        </w:rPr>
        <w:t>doi:10.1016/j.expneurol</w:t>
      </w:r>
      <w:proofErr w:type="gramEnd"/>
      <w:r w:rsidRPr="00C81BA0">
        <w:rPr>
          <w:lang w:val="en-US"/>
        </w:rPr>
        <w:t>.2019.03.001.</w:t>
      </w:r>
    </w:p>
    <w:p w14:paraId="2AF0ADF9"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fr-FR"/>
        </w:rPr>
        <w:t xml:space="preserve">Howard JF Jr, Bril V, Vu T, et al. </w:t>
      </w:r>
      <w:r w:rsidRPr="00C81BA0">
        <w:rPr>
          <w:lang w:val="en-US"/>
        </w:rPr>
        <w:t xml:space="preserve">Safety, efficacy, and tolerability of efgartigimod in patients with </w:t>
      </w:r>
      <w:proofErr w:type="spellStart"/>
      <w:r w:rsidRPr="00C81BA0">
        <w:rPr>
          <w:lang w:val="en-US"/>
        </w:rPr>
        <w:t>generalised</w:t>
      </w:r>
      <w:proofErr w:type="spellEnd"/>
      <w:r w:rsidRPr="00C81BA0">
        <w:rPr>
          <w:lang w:val="en-US"/>
        </w:rPr>
        <w:t xml:space="preserve"> myasthenia gravis (ADAPT): a </w:t>
      </w:r>
      <w:proofErr w:type="spellStart"/>
      <w:r w:rsidRPr="00C81BA0">
        <w:rPr>
          <w:lang w:val="en-US"/>
        </w:rPr>
        <w:t>multicentre</w:t>
      </w:r>
      <w:proofErr w:type="spellEnd"/>
      <w:r w:rsidRPr="00C81BA0">
        <w:rPr>
          <w:lang w:val="en-US"/>
        </w:rPr>
        <w:t xml:space="preserve">, </w:t>
      </w:r>
      <w:proofErr w:type="spellStart"/>
      <w:r w:rsidRPr="00C81BA0">
        <w:rPr>
          <w:lang w:val="en-US"/>
        </w:rPr>
        <w:t>randomised</w:t>
      </w:r>
      <w:proofErr w:type="spellEnd"/>
      <w:r w:rsidRPr="00C81BA0">
        <w:rPr>
          <w:lang w:val="en-US"/>
        </w:rPr>
        <w:t>, placebo-controlled, phase 3 trial. Lancet Neurol. 2021;20(7):526-536. doi:10.1016/S1474-4422(21)00159-9.</w:t>
      </w:r>
    </w:p>
    <w:p w14:paraId="6E4F02B2" w14:textId="77777777" w:rsidR="00307C0F" w:rsidRDefault="00307C0F" w:rsidP="00307C0F">
      <w:pPr>
        <w:numPr>
          <w:ilvl w:val="0"/>
          <w:numId w:val="8"/>
        </w:numPr>
        <w:autoSpaceDE w:val="0"/>
        <w:autoSpaceDN w:val="0"/>
        <w:adjustRightInd w:val="0"/>
        <w:spacing w:line="276" w:lineRule="auto"/>
        <w:jc w:val="both"/>
        <w:rPr>
          <w:lang w:val="en-US"/>
        </w:rPr>
      </w:pPr>
      <w:r w:rsidRPr="00274CFF">
        <w:rPr>
          <w:lang w:val="en-US"/>
        </w:rPr>
        <w:t>Katyal N, Halldorsdottir K, Govindarajan R, et al. Safety and outcomes with efgartigimod use for acetylcholine receptor-positive generalized myasthenia gravis in clinical practice. Muscle Nerve. 2023;68(5):762-766. doi:10.1002/mus.27974</w:t>
      </w:r>
    </w:p>
    <w:p w14:paraId="68274D50" w14:textId="77777777" w:rsidR="00307C0F" w:rsidRDefault="00307C0F" w:rsidP="00307C0F">
      <w:pPr>
        <w:numPr>
          <w:ilvl w:val="0"/>
          <w:numId w:val="8"/>
        </w:numPr>
        <w:autoSpaceDE w:val="0"/>
        <w:autoSpaceDN w:val="0"/>
        <w:adjustRightInd w:val="0"/>
        <w:spacing w:line="276" w:lineRule="auto"/>
        <w:jc w:val="both"/>
        <w:rPr>
          <w:lang w:val="en-US"/>
        </w:rPr>
      </w:pPr>
      <w:r>
        <w:rPr>
          <w:lang w:val="en-US"/>
        </w:rPr>
        <w:t xml:space="preserve">Finney HM, Griffiths Lawson AD, Graham Shaw S, Smith BJ, Tyson KL, Kevorkian L. Anti-FcRn Antibodies. 2014. Available from: </w:t>
      </w:r>
      <w:hyperlink r:id="rId10" w:history="1">
        <w:r w:rsidRPr="00D62683">
          <w:rPr>
            <w:rStyle w:val="Collegamentoipertestuale"/>
            <w:lang w:val="en-US"/>
          </w:rPr>
          <w:t>https://patentimages.storage.googleapis.com/65/a7/0b/ffa1fbbe15794b/WO2014019727A1.pdf</w:t>
        </w:r>
      </w:hyperlink>
    </w:p>
    <w:p w14:paraId="46CDF092" w14:textId="77777777" w:rsidR="00307C0F" w:rsidRDefault="00307C0F" w:rsidP="00307C0F">
      <w:pPr>
        <w:numPr>
          <w:ilvl w:val="0"/>
          <w:numId w:val="8"/>
        </w:numPr>
        <w:autoSpaceDE w:val="0"/>
        <w:autoSpaceDN w:val="0"/>
        <w:adjustRightInd w:val="0"/>
        <w:spacing w:line="276" w:lineRule="auto"/>
        <w:jc w:val="both"/>
        <w:rPr>
          <w:lang w:val="en-US"/>
        </w:rPr>
      </w:pPr>
      <w:r w:rsidRPr="00213F72">
        <w:rPr>
          <w:lang w:val="en-US"/>
        </w:rPr>
        <w:t xml:space="preserve">Lledo-Garcia R, Dixon K, Shock A, Oliver R. Pharmacokinetic-pharmacodynamic modelling of the anti-FcRn monoclonal antibody </w:t>
      </w:r>
      <w:proofErr w:type="spellStart"/>
      <w:r w:rsidRPr="00213F72">
        <w:rPr>
          <w:lang w:val="en-US"/>
        </w:rPr>
        <w:t>rozanolixizumab</w:t>
      </w:r>
      <w:proofErr w:type="spellEnd"/>
      <w:r w:rsidRPr="00213F72">
        <w:rPr>
          <w:lang w:val="en-US"/>
        </w:rPr>
        <w:t xml:space="preserve">: Translation from preclinical stages to the clinic. CPT Pharmacometrics Syst </w:t>
      </w:r>
      <w:proofErr w:type="spellStart"/>
      <w:r w:rsidRPr="00213F72">
        <w:rPr>
          <w:lang w:val="en-US"/>
        </w:rPr>
        <w:t>Pharmacol</w:t>
      </w:r>
      <w:proofErr w:type="spellEnd"/>
      <w:r w:rsidRPr="00213F72">
        <w:rPr>
          <w:lang w:val="en-US"/>
        </w:rPr>
        <w:t>. 2022;11(1):116-128. doi:10.1002/psp4.12739</w:t>
      </w:r>
    </w:p>
    <w:p w14:paraId="6592EA34" w14:textId="77777777" w:rsidR="00307C0F"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Bril V, </w:t>
      </w:r>
      <w:proofErr w:type="spellStart"/>
      <w:r w:rsidRPr="00C81BA0">
        <w:rPr>
          <w:lang w:val="en-US"/>
        </w:rPr>
        <w:t>Drużdż</w:t>
      </w:r>
      <w:proofErr w:type="spellEnd"/>
      <w:r w:rsidRPr="00C81BA0">
        <w:rPr>
          <w:lang w:val="en-US"/>
        </w:rPr>
        <w:t xml:space="preserve"> A, Grosskreutz J, et al. Safety and efficacy of </w:t>
      </w:r>
      <w:proofErr w:type="spellStart"/>
      <w:r w:rsidRPr="00C81BA0">
        <w:rPr>
          <w:lang w:val="en-US"/>
        </w:rPr>
        <w:t>rozanolixizumab</w:t>
      </w:r>
      <w:proofErr w:type="spellEnd"/>
      <w:r w:rsidRPr="00C81BA0">
        <w:rPr>
          <w:lang w:val="en-US"/>
        </w:rPr>
        <w:t xml:space="preserve"> in patients with generalized myasthenia gravis (</w:t>
      </w:r>
      <w:proofErr w:type="spellStart"/>
      <w:r w:rsidRPr="00C81BA0">
        <w:rPr>
          <w:lang w:val="en-US"/>
        </w:rPr>
        <w:t>MycarinG</w:t>
      </w:r>
      <w:proofErr w:type="spellEnd"/>
      <w:r w:rsidRPr="00C81BA0">
        <w:rPr>
          <w:lang w:val="en-US"/>
        </w:rPr>
        <w:t>): a randomized, double-blind, placebo-controlled, adaptive phase 3 study. Lancet Neurol. 2023;22(5):383-394. doi:10.1016/S1474-4422(23)00077-7.</w:t>
      </w:r>
    </w:p>
    <w:p w14:paraId="502FAC93" w14:textId="77777777" w:rsidR="00307C0F" w:rsidRDefault="00307C0F" w:rsidP="00307C0F">
      <w:pPr>
        <w:numPr>
          <w:ilvl w:val="0"/>
          <w:numId w:val="8"/>
        </w:numPr>
        <w:autoSpaceDE w:val="0"/>
        <w:autoSpaceDN w:val="0"/>
        <w:adjustRightInd w:val="0"/>
        <w:spacing w:line="276" w:lineRule="auto"/>
        <w:jc w:val="both"/>
        <w:rPr>
          <w:lang w:val="en-US"/>
        </w:rPr>
      </w:pPr>
      <w:r w:rsidRPr="00213F72">
        <w:rPr>
          <w:lang w:val="en-US"/>
        </w:rPr>
        <w:lastRenderedPageBreak/>
        <w:t xml:space="preserve">Tang GQ, Tang Y, </w:t>
      </w:r>
      <w:proofErr w:type="spellStart"/>
      <w:r w:rsidRPr="00213F72">
        <w:rPr>
          <w:lang w:val="en-US"/>
        </w:rPr>
        <w:t>Dhamnaskar</w:t>
      </w:r>
      <w:proofErr w:type="spellEnd"/>
      <w:r w:rsidRPr="00213F72">
        <w:rPr>
          <w:lang w:val="en-US"/>
        </w:rPr>
        <w:t xml:space="preserve"> K, et al. Corrigendum: </w:t>
      </w:r>
      <w:proofErr w:type="spellStart"/>
      <w:r w:rsidRPr="00213F72">
        <w:rPr>
          <w:lang w:val="en-US"/>
        </w:rPr>
        <w:t>Zilucoplan</w:t>
      </w:r>
      <w:proofErr w:type="spellEnd"/>
      <w:r w:rsidRPr="00213F72">
        <w:rPr>
          <w:lang w:val="en-US"/>
        </w:rPr>
        <w:t xml:space="preserve">, a macrocyclic peptide inhibitor of human complement component 5, uses a dual mode of action to prevent terminal complement pathway activation. Front Immunol. </w:t>
      </w:r>
      <w:proofErr w:type="gramStart"/>
      <w:r w:rsidRPr="00213F72">
        <w:rPr>
          <w:lang w:val="en-US"/>
        </w:rPr>
        <w:t>2023;14:1282155</w:t>
      </w:r>
      <w:proofErr w:type="gramEnd"/>
      <w:r w:rsidRPr="00213F72">
        <w:rPr>
          <w:lang w:val="en-US"/>
        </w:rPr>
        <w:t>. Published 2023 Sep 25. doi:10.3389/fimmu.2023.1282155</w:t>
      </w:r>
    </w:p>
    <w:p w14:paraId="4FFC5B84" w14:textId="77777777" w:rsidR="00307C0F" w:rsidRDefault="00307C0F" w:rsidP="00307C0F">
      <w:pPr>
        <w:numPr>
          <w:ilvl w:val="0"/>
          <w:numId w:val="8"/>
        </w:numPr>
        <w:autoSpaceDE w:val="0"/>
        <w:autoSpaceDN w:val="0"/>
        <w:adjustRightInd w:val="0"/>
        <w:spacing w:line="276" w:lineRule="auto"/>
        <w:jc w:val="both"/>
        <w:rPr>
          <w:lang w:val="en-US"/>
        </w:rPr>
      </w:pPr>
      <w:r w:rsidRPr="00213F72">
        <w:t xml:space="preserve">Ricardo A, Arata M, </w:t>
      </w:r>
      <w:proofErr w:type="spellStart"/>
      <w:r w:rsidRPr="00213F72">
        <w:t>DeMarco</w:t>
      </w:r>
      <w:proofErr w:type="spellEnd"/>
      <w:r w:rsidRPr="00213F72">
        <w:t xml:space="preserve"> S, et al. </w:t>
      </w:r>
      <w:r w:rsidRPr="00213F72">
        <w:rPr>
          <w:lang w:val="en-US"/>
        </w:rPr>
        <w:t xml:space="preserve">Preclinical evaluation of RA101495, a potent cyclic peptide inhibitor of C5 for the treatment of paroxysmal nocturnal hemoglobinuria [abstract]. Blood. </w:t>
      </w:r>
      <w:proofErr w:type="gramStart"/>
      <w:r w:rsidRPr="00213F72">
        <w:rPr>
          <w:lang w:val="en-US"/>
        </w:rPr>
        <w:t>2015;126:939</w:t>
      </w:r>
      <w:proofErr w:type="gramEnd"/>
      <w:r w:rsidRPr="00213F72">
        <w:rPr>
          <w:lang w:val="en-US"/>
        </w:rPr>
        <w:t xml:space="preserve">. </w:t>
      </w:r>
      <w:proofErr w:type="spellStart"/>
      <w:r w:rsidRPr="00213F72">
        <w:rPr>
          <w:lang w:val="en-US"/>
        </w:rPr>
        <w:t>doi</w:t>
      </w:r>
      <w:proofErr w:type="spellEnd"/>
      <w:r w:rsidRPr="00213F72">
        <w:rPr>
          <w:lang w:val="en-US"/>
        </w:rPr>
        <w:t>: 10.1182/</w:t>
      </w:r>
      <w:proofErr w:type="gramStart"/>
      <w:r w:rsidRPr="00213F72">
        <w:rPr>
          <w:lang w:val="en-US"/>
        </w:rPr>
        <w:t>blood.V</w:t>
      </w:r>
      <w:proofErr w:type="gramEnd"/>
      <w:r w:rsidRPr="00213F72">
        <w:rPr>
          <w:lang w:val="en-US"/>
        </w:rPr>
        <w:t>126.23.939.939</w:t>
      </w:r>
    </w:p>
    <w:p w14:paraId="1F4FC82C" w14:textId="77777777" w:rsidR="00307C0F" w:rsidRPr="004C46DE" w:rsidRDefault="00307C0F" w:rsidP="00307C0F">
      <w:pPr>
        <w:numPr>
          <w:ilvl w:val="0"/>
          <w:numId w:val="8"/>
        </w:numPr>
        <w:autoSpaceDE w:val="0"/>
        <w:autoSpaceDN w:val="0"/>
        <w:adjustRightInd w:val="0"/>
        <w:spacing w:line="276" w:lineRule="auto"/>
        <w:jc w:val="both"/>
        <w:rPr>
          <w:lang w:val="en-US"/>
        </w:rPr>
      </w:pPr>
      <w:r w:rsidRPr="00307C0F">
        <w:rPr>
          <w:lang w:val="en-US"/>
        </w:rPr>
        <w:t xml:space="preserve">Julien S, </w:t>
      </w:r>
      <w:proofErr w:type="spellStart"/>
      <w:r w:rsidRPr="00307C0F">
        <w:rPr>
          <w:lang w:val="en-US"/>
        </w:rPr>
        <w:t>Vadysirisack</w:t>
      </w:r>
      <w:proofErr w:type="spellEnd"/>
      <w:r w:rsidRPr="00307C0F">
        <w:rPr>
          <w:lang w:val="en-US"/>
        </w:rPr>
        <w:t xml:space="preserve"> D, Sayegh C, et al. Prevention of Anti-HMGCR Immune-Mediated </w:t>
      </w:r>
      <w:proofErr w:type="spellStart"/>
      <w:r w:rsidRPr="00307C0F">
        <w:rPr>
          <w:lang w:val="en-US"/>
        </w:rPr>
        <w:t>Necrotising</w:t>
      </w:r>
      <w:proofErr w:type="spellEnd"/>
      <w:r w:rsidRPr="00307C0F">
        <w:rPr>
          <w:lang w:val="en-US"/>
        </w:rPr>
        <w:t xml:space="preserve"> Myopathy by C5 Complement Inhibition in a </w:t>
      </w:r>
      <w:proofErr w:type="spellStart"/>
      <w:r w:rsidRPr="00307C0F">
        <w:rPr>
          <w:lang w:val="en-US"/>
        </w:rPr>
        <w:t>Humanised</w:t>
      </w:r>
      <w:proofErr w:type="spellEnd"/>
      <w:r w:rsidRPr="00307C0F">
        <w:rPr>
          <w:lang w:val="en-US"/>
        </w:rPr>
        <w:t xml:space="preserve"> Mouse Model. </w:t>
      </w:r>
      <w:r w:rsidRPr="004C46DE">
        <w:rPr>
          <w:lang w:val="en-US"/>
        </w:rPr>
        <w:t>Biomedicines. 2022;10(8):2036doi:10.3390/biomedicines10082036</w:t>
      </w:r>
    </w:p>
    <w:p w14:paraId="52BF0511" w14:textId="77777777" w:rsidR="00307C0F" w:rsidRDefault="00307C0F" w:rsidP="00307C0F">
      <w:pPr>
        <w:numPr>
          <w:ilvl w:val="0"/>
          <w:numId w:val="8"/>
        </w:numPr>
        <w:autoSpaceDE w:val="0"/>
        <w:autoSpaceDN w:val="0"/>
        <w:adjustRightInd w:val="0"/>
        <w:spacing w:line="276" w:lineRule="auto"/>
        <w:jc w:val="both"/>
        <w:rPr>
          <w:lang w:val="en-US"/>
        </w:rPr>
      </w:pPr>
      <w:r w:rsidRPr="00567928">
        <w:t xml:space="preserve">Mantegazza, R., Vanoli, F., </w:t>
      </w:r>
      <w:proofErr w:type="spellStart"/>
      <w:r w:rsidRPr="00567928">
        <w:t>Frangiamore</w:t>
      </w:r>
      <w:proofErr w:type="spellEnd"/>
      <w:r w:rsidRPr="00567928">
        <w:t xml:space="preserve">, R., &amp; Cavalcante, P. (2020). </w:t>
      </w:r>
      <w:r w:rsidRPr="00567928">
        <w:rPr>
          <w:lang w:val="en-US"/>
        </w:rPr>
        <w:t xml:space="preserve">Complement Inhibition for the Treatment of Myasthenia Gravis. </w:t>
      </w:r>
      <w:proofErr w:type="spellStart"/>
      <w:r w:rsidRPr="00567928">
        <w:rPr>
          <w:lang w:val="en-US"/>
        </w:rPr>
        <w:t>ImmunoTargets</w:t>
      </w:r>
      <w:proofErr w:type="spellEnd"/>
      <w:r w:rsidRPr="00567928">
        <w:rPr>
          <w:lang w:val="en-US"/>
        </w:rPr>
        <w:t xml:space="preserve"> and therapy, 9, 317–331. https://doi.org/10.2147/ITT.S261414</w:t>
      </w:r>
    </w:p>
    <w:p w14:paraId="05324927"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Howard JF Jr, Bresch S, Genge A, et al. Safety and efficacy of </w:t>
      </w:r>
      <w:proofErr w:type="spellStart"/>
      <w:r w:rsidRPr="00C81BA0">
        <w:rPr>
          <w:lang w:val="en-US"/>
        </w:rPr>
        <w:t>zilucoplan</w:t>
      </w:r>
      <w:proofErr w:type="spellEnd"/>
      <w:r w:rsidRPr="00C81BA0">
        <w:rPr>
          <w:lang w:val="en-US"/>
        </w:rPr>
        <w:t xml:space="preserve"> in patients with generalized myasthenia gravis (RAISE): a randomized, double-blind, placebo-controlled, phase 3 study. Lancet Neurol. 2023;22(5):395-406. doi:10.1016/S1474-4422(23)00080-7. PMID: 37059508.</w:t>
      </w:r>
    </w:p>
    <w:p w14:paraId="752D06D3" w14:textId="77777777" w:rsidR="00307C0F" w:rsidRDefault="00307C0F" w:rsidP="00307C0F">
      <w:pPr>
        <w:numPr>
          <w:ilvl w:val="0"/>
          <w:numId w:val="8"/>
        </w:numPr>
        <w:autoSpaceDE w:val="0"/>
        <w:autoSpaceDN w:val="0"/>
        <w:adjustRightInd w:val="0"/>
        <w:spacing w:line="276" w:lineRule="auto"/>
        <w:jc w:val="both"/>
        <w:rPr>
          <w:lang w:val="en-US"/>
        </w:rPr>
      </w:pPr>
      <w:r w:rsidRPr="00567928">
        <w:rPr>
          <w:lang w:val="en-US"/>
        </w:rPr>
        <w:t>Zhu LN, Hou HM, Wang S, et al. FcRn inhibitors: a novel option for the treatment of myasthenia gravis. Neural Regen Res. 2023;18(8):1637-1644. doi:10.4103/1673-5374.363824.</w:t>
      </w:r>
    </w:p>
    <w:p w14:paraId="5B6BCC8E"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NCT04963270: </w:t>
      </w:r>
      <w:proofErr w:type="spellStart"/>
      <w:r w:rsidRPr="00C81BA0">
        <w:rPr>
          <w:lang w:val="en-US"/>
        </w:rPr>
        <w:t>Satralizumab</w:t>
      </w:r>
      <w:proofErr w:type="spellEnd"/>
      <w:r w:rsidRPr="00C81BA0">
        <w:rPr>
          <w:lang w:val="en-US"/>
        </w:rPr>
        <w:t xml:space="preserve"> trial. </w:t>
      </w:r>
      <w:r>
        <w:rPr>
          <w:lang w:val="en-US"/>
        </w:rPr>
        <w:t>Available</w:t>
      </w:r>
      <w:r w:rsidRPr="00C81BA0">
        <w:rPr>
          <w:lang w:val="en-US"/>
        </w:rPr>
        <w:t xml:space="preserve"> from </w:t>
      </w:r>
      <w:hyperlink r:id="rId11" w:history="1">
        <w:r w:rsidRPr="00C81BA0">
          <w:rPr>
            <w:rStyle w:val="Collegamentoipertestuale"/>
            <w:color w:val="auto"/>
            <w:lang w:val="en-US"/>
          </w:rPr>
          <w:t>https://clinicaltrials.gov/ct2/show/NCT04963270</w:t>
        </w:r>
      </w:hyperlink>
      <w:r w:rsidRPr="00C81BA0">
        <w:rPr>
          <w:lang w:val="en-US"/>
        </w:rPr>
        <w:t>.</w:t>
      </w:r>
    </w:p>
    <w:p w14:paraId="51933FD2"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NCT04524273: </w:t>
      </w:r>
      <w:proofErr w:type="spellStart"/>
      <w:r w:rsidRPr="00C81BA0">
        <w:rPr>
          <w:lang w:val="en-US"/>
        </w:rPr>
        <w:t>Inebilizumab</w:t>
      </w:r>
      <w:proofErr w:type="spellEnd"/>
      <w:r w:rsidRPr="00C81BA0">
        <w:rPr>
          <w:lang w:val="en-US"/>
        </w:rPr>
        <w:t xml:space="preserve"> trial. </w:t>
      </w:r>
      <w:r>
        <w:rPr>
          <w:lang w:val="en-US"/>
        </w:rPr>
        <w:t>Available</w:t>
      </w:r>
      <w:r w:rsidRPr="00C81BA0">
        <w:rPr>
          <w:lang w:val="en-US"/>
        </w:rPr>
        <w:t xml:space="preserve"> from </w:t>
      </w:r>
      <w:hyperlink r:id="rId12" w:history="1">
        <w:r w:rsidRPr="00C81BA0">
          <w:rPr>
            <w:rStyle w:val="Collegamentoipertestuale"/>
            <w:color w:val="auto"/>
            <w:lang w:val="en-US"/>
          </w:rPr>
          <w:t>https://clinicaltrials.gov/ct2/show/NCT04524273</w:t>
        </w:r>
      </w:hyperlink>
      <w:r w:rsidRPr="00C81BA0">
        <w:rPr>
          <w:lang w:val="en-US"/>
        </w:rPr>
        <w:t>.</w:t>
      </w:r>
    </w:p>
    <w:p w14:paraId="19044C22"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NCT03920293: </w:t>
      </w:r>
      <w:proofErr w:type="spellStart"/>
      <w:r w:rsidRPr="00C81BA0">
        <w:rPr>
          <w:lang w:val="en-US"/>
        </w:rPr>
        <w:t>Gefurulimab</w:t>
      </w:r>
      <w:proofErr w:type="spellEnd"/>
      <w:r w:rsidRPr="00C81BA0">
        <w:rPr>
          <w:lang w:val="en-US"/>
        </w:rPr>
        <w:t xml:space="preserve"> trial. </w:t>
      </w:r>
      <w:r>
        <w:rPr>
          <w:lang w:val="en-US"/>
        </w:rPr>
        <w:t>Available</w:t>
      </w:r>
      <w:r w:rsidRPr="00C81BA0">
        <w:rPr>
          <w:lang w:val="en-US"/>
        </w:rPr>
        <w:t xml:space="preserve"> from </w:t>
      </w:r>
      <w:hyperlink r:id="rId13" w:history="1">
        <w:r w:rsidRPr="00C81BA0">
          <w:rPr>
            <w:rStyle w:val="Collegamentoipertestuale"/>
            <w:color w:val="auto"/>
            <w:lang w:val="en-US"/>
          </w:rPr>
          <w:t>https://clinicaltrials.gov/ct2/show/NCT03920293</w:t>
        </w:r>
      </w:hyperlink>
      <w:r w:rsidRPr="00C81BA0">
        <w:rPr>
          <w:lang w:val="en-US"/>
        </w:rPr>
        <w:t>.</w:t>
      </w:r>
    </w:p>
    <w:p w14:paraId="54E97CF5"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NCT05218096: Vemircopan trial. </w:t>
      </w:r>
      <w:r>
        <w:rPr>
          <w:lang w:val="en-US"/>
        </w:rPr>
        <w:t>Available</w:t>
      </w:r>
      <w:r w:rsidRPr="00C81BA0">
        <w:rPr>
          <w:lang w:val="en-US"/>
        </w:rPr>
        <w:t xml:space="preserve"> from </w:t>
      </w:r>
      <w:hyperlink r:id="rId14" w:history="1">
        <w:r w:rsidRPr="00C81BA0">
          <w:rPr>
            <w:rStyle w:val="Collegamentoipertestuale"/>
            <w:color w:val="auto"/>
            <w:lang w:val="en-US"/>
          </w:rPr>
          <w:t>https://clinicaltrials.gov/ct2/show/NCT05218096</w:t>
        </w:r>
      </w:hyperlink>
      <w:r w:rsidRPr="00C81BA0">
        <w:rPr>
          <w:lang w:val="en-US"/>
        </w:rPr>
        <w:t>.</w:t>
      </w:r>
    </w:p>
    <w:p w14:paraId="1C6B9D38" w14:textId="77777777" w:rsidR="00307C0F" w:rsidRDefault="00307C0F" w:rsidP="00307C0F">
      <w:pPr>
        <w:numPr>
          <w:ilvl w:val="0"/>
          <w:numId w:val="8"/>
        </w:numPr>
        <w:autoSpaceDE w:val="0"/>
        <w:autoSpaceDN w:val="0"/>
        <w:adjustRightInd w:val="0"/>
        <w:spacing w:line="276" w:lineRule="auto"/>
        <w:jc w:val="both"/>
        <w:rPr>
          <w:lang w:val="en-US"/>
        </w:rPr>
      </w:pPr>
      <w:r w:rsidRPr="00567928">
        <w:rPr>
          <w:lang w:val="en-US"/>
        </w:rPr>
        <w:t xml:space="preserve">NCT05070858: </w:t>
      </w:r>
      <w:proofErr w:type="spellStart"/>
      <w:r w:rsidRPr="00567928">
        <w:rPr>
          <w:lang w:val="en-US"/>
        </w:rPr>
        <w:t>Pozelimab</w:t>
      </w:r>
      <w:proofErr w:type="spellEnd"/>
      <w:r w:rsidRPr="00567928">
        <w:rPr>
          <w:lang w:val="en-US"/>
        </w:rPr>
        <w:t xml:space="preserve"> + </w:t>
      </w:r>
      <w:proofErr w:type="spellStart"/>
      <w:r w:rsidRPr="00567928">
        <w:rPr>
          <w:lang w:val="en-US"/>
        </w:rPr>
        <w:t>cemdisiran</w:t>
      </w:r>
      <w:proofErr w:type="spellEnd"/>
      <w:r w:rsidRPr="00567928">
        <w:rPr>
          <w:lang w:val="en-US"/>
        </w:rPr>
        <w:t xml:space="preserve"> trial. </w:t>
      </w:r>
      <w:r>
        <w:rPr>
          <w:lang w:val="en-US"/>
        </w:rPr>
        <w:t>Available</w:t>
      </w:r>
      <w:r w:rsidRPr="00C81BA0">
        <w:rPr>
          <w:lang w:val="en-US"/>
        </w:rPr>
        <w:t xml:space="preserve"> </w:t>
      </w:r>
      <w:r w:rsidRPr="00567928">
        <w:rPr>
          <w:lang w:val="en-US"/>
        </w:rPr>
        <w:t>from: https://classic.clinicaltrials.gov/ct2/show/NCT05070858</w:t>
      </w:r>
    </w:p>
    <w:p w14:paraId="677B3B7E" w14:textId="77777777" w:rsidR="00307C0F" w:rsidRPr="00567928" w:rsidRDefault="00307C0F" w:rsidP="00307C0F">
      <w:pPr>
        <w:pStyle w:val="Paragrafoelenco"/>
        <w:numPr>
          <w:ilvl w:val="0"/>
          <w:numId w:val="8"/>
        </w:numPr>
        <w:jc w:val="both"/>
        <w:rPr>
          <w:lang w:val="en-US"/>
        </w:rPr>
      </w:pPr>
      <w:proofErr w:type="spellStart"/>
      <w:r w:rsidRPr="00567928">
        <w:t>Granit</w:t>
      </w:r>
      <w:proofErr w:type="spellEnd"/>
      <w:r w:rsidRPr="00567928">
        <w:t xml:space="preserve"> V, </w:t>
      </w:r>
      <w:proofErr w:type="spellStart"/>
      <w:r w:rsidRPr="00567928">
        <w:t>Benatar</w:t>
      </w:r>
      <w:proofErr w:type="spellEnd"/>
      <w:r w:rsidRPr="00567928">
        <w:t xml:space="preserve"> M, </w:t>
      </w:r>
      <w:proofErr w:type="spellStart"/>
      <w:r w:rsidRPr="00567928">
        <w:t>Kurtoglu</w:t>
      </w:r>
      <w:proofErr w:type="spellEnd"/>
      <w:r w:rsidRPr="00567928">
        <w:t xml:space="preserve"> M, et al. </w:t>
      </w:r>
      <w:r w:rsidRPr="00567928">
        <w:rPr>
          <w:lang w:val="en-US"/>
        </w:rPr>
        <w:t xml:space="preserve">Safety and clinical activity of autologous RNA chimeric antigen receptor T-cell therapy in myasthenia gravis (MG-001): a prospective, </w:t>
      </w:r>
      <w:proofErr w:type="spellStart"/>
      <w:r w:rsidRPr="00567928">
        <w:rPr>
          <w:lang w:val="en-US"/>
        </w:rPr>
        <w:t>multicentre</w:t>
      </w:r>
      <w:proofErr w:type="spellEnd"/>
      <w:r w:rsidRPr="00567928">
        <w:rPr>
          <w:lang w:val="en-US"/>
        </w:rPr>
        <w:t>, open-label, non-</w:t>
      </w:r>
      <w:proofErr w:type="spellStart"/>
      <w:r w:rsidRPr="00567928">
        <w:rPr>
          <w:lang w:val="en-US"/>
        </w:rPr>
        <w:t>randomised</w:t>
      </w:r>
      <w:proofErr w:type="spellEnd"/>
      <w:r w:rsidRPr="00567928">
        <w:rPr>
          <w:lang w:val="en-US"/>
        </w:rPr>
        <w:t xml:space="preserve"> phase 1b/2a study. Lancet Neurol. 2023;22(7):578-590. doi:10.1016/S1474-4422(23)00194-1</w:t>
      </w:r>
    </w:p>
    <w:p w14:paraId="7DA63BEB" w14:textId="77777777" w:rsidR="00307C0F" w:rsidRDefault="00307C0F" w:rsidP="00307C0F">
      <w:pPr>
        <w:numPr>
          <w:ilvl w:val="0"/>
          <w:numId w:val="8"/>
        </w:numPr>
        <w:autoSpaceDE w:val="0"/>
        <w:autoSpaceDN w:val="0"/>
        <w:adjustRightInd w:val="0"/>
        <w:spacing w:line="276" w:lineRule="auto"/>
        <w:jc w:val="both"/>
        <w:rPr>
          <w:lang w:val="en-US"/>
        </w:rPr>
      </w:pPr>
      <w:r w:rsidRPr="00567928">
        <w:rPr>
          <w:lang w:val="en-US"/>
        </w:rPr>
        <w:t xml:space="preserve">Oh S, Mao X, Manfredo-Vieira S, et al. Precision targeting of autoantigen-specific B cells in muscle-specific tyrosine kinase myasthenia gravis with chimeric autoantibody receptor T cells. Nat </w:t>
      </w:r>
      <w:proofErr w:type="spellStart"/>
      <w:r w:rsidRPr="00567928">
        <w:rPr>
          <w:lang w:val="en-US"/>
        </w:rPr>
        <w:t>Biotechnol</w:t>
      </w:r>
      <w:proofErr w:type="spellEnd"/>
      <w:r w:rsidRPr="00567928">
        <w:rPr>
          <w:lang w:val="en-US"/>
        </w:rPr>
        <w:t>. 2023;41(9):1229-1238. doi:10.1038/s41587-022-01637-z</w:t>
      </w:r>
    </w:p>
    <w:p w14:paraId="6D559CD5" w14:textId="77777777" w:rsidR="00307C0F" w:rsidRDefault="00307C0F" w:rsidP="00307C0F">
      <w:pPr>
        <w:numPr>
          <w:ilvl w:val="0"/>
          <w:numId w:val="8"/>
        </w:numPr>
        <w:autoSpaceDE w:val="0"/>
        <w:autoSpaceDN w:val="0"/>
        <w:adjustRightInd w:val="0"/>
        <w:spacing w:line="276" w:lineRule="auto"/>
        <w:jc w:val="both"/>
        <w:rPr>
          <w:lang w:val="en-US"/>
        </w:rPr>
      </w:pPr>
      <w:r w:rsidRPr="00567928">
        <w:rPr>
          <w:lang w:val="en-US"/>
        </w:rPr>
        <w:t>Huang EJ, Wu MH, Wang TJ, Huang TJ, Li YR, Lee CY. Myasthenia Gravis: Novel Findings and Perspectives on Traditional to Regenerative Therapeutic Interventions. Aging Dis. 2023;14(4):1070-1092. Published 2023 Aug 1. doi:10.14336/AD.2022.1215</w:t>
      </w:r>
    </w:p>
    <w:p w14:paraId="086E77F7" w14:textId="77777777" w:rsidR="00307C0F" w:rsidRDefault="00307C0F" w:rsidP="00307C0F">
      <w:pPr>
        <w:numPr>
          <w:ilvl w:val="0"/>
          <w:numId w:val="8"/>
        </w:numPr>
        <w:autoSpaceDE w:val="0"/>
        <w:autoSpaceDN w:val="0"/>
        <w:adjustRightInd w:val="0"/>
        <w:spacing w:line="276" w:lineRule="auto"/>
        <w:jc w:val="both"/>
        <w:rPr>
          <w:lang w:val="en-US"/>
        </w:rPr>
      </w:pPr>
      <w:r w:rsidRPr="00567928">
        <w:rPr>
          <w:lang w:val="en-US"/>
        </w:rPr>
        <w:t xml:space="preserve">Kusner LL, </w:t>
      </w:r>
      <w:proofErr w:type="spellStart"/>
      <w:r w:rsidRPr="00567928">
        <w:rPr>
          <w:lang w:val="en-US"/>
        </w:rPr>
        <w:t>Yucius</w:t>
      </w:r>
      <w:proofErr w:type="spellEnd"/>
      <w:r w:rsidRPr="00567928">
        <w:rPr>
          <w:lang w:val="en-US"/>
        </w:rPr>
        <w:t xml:space="preserve"> K, Sengupta M, et al. Investigational RNAi Therapeutic Targeting C5 Is Efficacious in Pre-clinical Models of Myasthenia Gravis. Mol Ther Methods Clin Dev. </w:t>
      </w:r>
      <w:proofErr w:type="gramStart"/>
      <w:r w:rsidRPr="00567928">
        <w:rPr>
          <w:lang w:val="en-US"/>
        </w:rPr>
        <w:t>2019;13:484</w:t>
      </w:r>
      <w:proofErr w:type="gramEnd"/>
      <w:r w:rsidRPr="00567928">
        <w:rPr>
          <w:lang w:val="en-US"/>
        </w:rPr>
        <w:t xml:space="preserve">-492. Published 2019 May 10. </w:t>
      </w:r>
      <w:proofErr w:type="gramStart"/>
      <w:r w:rsidRPr="00567928">
        <w:rPr>
          <w:lang w:val="en-US"/>
        </w:rPr>
        <w:t>doi:10.1016/j.omtm</w:t>
      </w:r>
      <w:proofErr w:type="gramEnd"/>
      <w:r w:rsidRPr="00567928">
        <w:rPr>
          <w:lang w:val="en-US"/>
        </w:rPr>
        <w:t>.2019.04.009</w:t>
      </w:r>
    </w:p>
    <w:p w14:paraId="10FCF774" w14:textId="77777777" w:rsidR="00307C0F" w:rsidRDefault="00307C0F" w:rsidP="00307C0F">
      <w:pPr>
        <w:numPr>
          <w:ilvl w:val="0"/>
          <w:numId w:val="8"/>
        </w:numPr>
        <w:autoSpaceDE w:val="0"/>
        <w:autoSpaceDN w:val="0"/>
        <w:adjustRightInd w:val="0"/>
        <w:spacing w:line="276" w:lineRule="auto"/>
        <w:jc w:val="both"/>
        <w:rPr>
          <w:lang w:val="en-US"/>
        </w:rPr>
      </w:pPr>
      <w:r w:rsidRPr="00567928">
        <w:rPr>
          <w:lang w:val="en-US"/>
        </w:rPr>
        <w:lastRenderedPageBreak/>
        <w:t xml:space="preserve">Zimmermann TS, Karsten V, Chan A, et al. Clinical Proof of Concept for a Novel Hepatocyte-Targeting GalNAc-siRNA Conjugate. Mol Ther. 2017;25(1):71-78. </w:t>
      </w:r>
      <w:proofErr w:type="gramStart"/>
      <w:r w:rsidRPr="00567928">
        <w:rPr>
          <w:lang w:val="en-US"/>
        </w:rPr>
        <w:t>doi:10.1016/j.ymthe</w:t>
      </w:r>
      <w:proofErr w:type="gramEnd"/>
      <w:r w:rsidRPr="00567928">
        <w:rPr>
          <w:lang w:val="en-US"/>
        </w:rPr>
        <w:t>.2016.10.019</w:t>
      </w:r>
    </w:p>
    <w:p w14:paraId="53ADE3DF" w14:textId="77777777" w:rsidR="00307C0F" w:rsidRDefault="00307C0F" w:rsidP="00307C0F">
      <w:pPr>
        <w:numPr>
          <w:ilvl w:val="0"/>
          <w:numId w:val="8"/>
        </w:numPr>
        <w:autoSpaceDE w:val="0"/>
        <w:autoSpaceDN w:val="0"/>
        <w:adjustRightInd w:val="0"/>
        <w:spacing w:line="276" w:lineRule="auto"/>
        <w:jc w:val="both"/>
        <w:rPr>
          <w:lang w:val="en-US"/>
        </w:rPr>
      </w:pPr>
      <w:r w:rsidRPr="00567928">
        <w:rPr>
          <w:lang w:val="en-US"/>
        </w:rPr>
        <w:t>Zhang J, Jia G, Liu Q, et al. Silencing miR-146a influences B cells and ameliorates experimental autoimmune myasthenia gravis. Immunology. 2015;144(1):56-67. doi:10.1111/imm.12347</w:t>
      </w:r>
    </w:p>
    <w:p w14:paraId="510BCDD5" w14:textId="77777777" w:rsidR="00307C0F" w:rsidRDefault="00307C0F" w:rsidP="00307C0F">
      <w:pPr>
        <w:numPr>
          <w:ilvl w:val="0"/>
          <w:numId w:val="8"/>
        </w:numPr>
        <w:autoSpaceDE w:val="0"/>
        <w:autoSpaceDN w:val="0"/>
        <w:adjustRightInd w:val="0"/>
        <w:spacing w:line="276" w:lineRule="auto"/>
        <w:jc w:val="both"/>
        <w:rPr>
          <w:lang w:val="en-US"/>
        </w:rPr>
      </w:pPr>
      <w:r w:rsidRPr="00567928">
        <w:rPr>
          <w:lang w:val="en-US"/>
        </w:rPr>
        <w:t xml:space="preserve">Angelini C, Martignago S, </w:t>
      </w:r>
      <w:proofErr w:type="spellStart"/>
      <w:r w:rsidRPr="00567928">
        <w:rPr>
          <w:lang w:val="en-US"/>
        </w:rPr>
        <w:t>Bisciglia</w:t>
      </w:r>
      <w:proofErr w:type="spellEnd"/>
      <w:r w:rsidRPr="00567928">
        <w:rPr>
          <w:lang w:val="en-US"/>
        </w:rPr>
        <w:t xml:space="preserve"> M. New treatments for myasthenia: a focus on antisense oligonucleotides. Drug Des Devel Ther. </w:t>
      </w:r>
      <w:proofErr w:type="gramStart"/>
      <w:r w:rsidRPr="00567928">
        <w:rPr>
          <w:lang w:val="en-US"/>
        </w:rPr>
        <w:t>2013;7:13</w:t>
      </w:r>
      <w:proofErr w:type="gramEnd"/>
      <w:r w:rsidRPr="00567928">
        <w:rPr>
          <w:lang w:val="en-US"/>
        </w:rPr>
        <w:t>-17. doi:10.2147/DDDT.S25716</w:t>
      </w:r>
    </w:p>
    <w:p w14:paraId="4CE44CD4" w14:textId="77777777" w:rsidR="00307C0F" w:rsidRPr="00567928" w:rsidRDefault="00307C0F" w:rsidP="00307C0F">
      <w:pPr>
        <w:numPr>
          <w:ilvl w:val="0"/>
          <w:numId w:val="8"/>
        </w:numPr>
        <w:autoSpaceDE w:val="0"/>
        <w:autoSpaceDN w:val="0"/>
        <w:adjustRightInd w:val="0"/>
        <w:spacing w:line="276" w:lineRule="auto"/>
        <w:jc w:val="both"/>
        <w:rPr>
          <w:lang w:val="en-US"/>
        </w:rPr>
      </w:pPr>
      <w:proofErr w:type="spellStart"/>
      <w:r w:rsidRPr="00567928">
        <w:t>Sossa</w:t>
      </w:r>
      <w:proofErr w:type="spellEnd"/>
      <w:r w:rsidRPr="00567928">
        <w:t xml:space="preserve"> Melo CL, </w:t>
      </w:r>
      <w:proofErr w:type="spellStart"/>
      <w:r w:rsidRPr="00567928">
        <w:t>Peña</w:t>
      </w:r>
      <w:proofErr w:type="spellEnd"/>
      <w:r w:rsidRPr="00567928">
        <w:t xml:space="preserve"> AM, Salazar LA, et al. </w:t>
      </w:r>
      <w:r w:rsidRPr="00567928">
        <w:rPr>
          <w:lang w:val="en-US"/>
        </w:rPr>
        <w:t>Autologous hematopoietic stem cell transplantation in a patient with refractory seropositive myasthenia gravis: A case report. </w:t>
      </w:r>
      <w:proofErr w:type="spellStart"/>
      <w:r w:rsidRPr="00567928">
        <w:rPr>
          <w:lang w:val="en-US"/>
        </w:rPr>
        <w:t>Neuromuscul</w:t>
      </w:r>
      <w:proofErr w:type="spellEnd"/>
      <w:r w:rsidRPr="00567928">
        <w:rPr>
          <w:lang w:val="en-US"/>
        </w:rPr>
        <w:t xml:space="preserve"> </w:t>
      </w:r>
      <w:proofErr w:type="spellStart"/>
      <w:r w:rsidRPr="00567928">
        <w:rPr>
          <w:lang w:val="en-US"/>
        </w:rPr>
        <w:t>Disord</w:t>
      </w:r>
      <w:proofErr w:type="spellEnd"/>
      <w:r w:rsidRPr="00567928">
        <w:rPr>
          <w:lang w:val="en-US"/>
        </w:rPr>
        <w:t xml:space="preserve">. 2019;29(2):142-145. </w:t>
      </w:r>
      <w:proofErr w:type="gramStart"/>
      <w:r w:rsidRPr="00567928">
        <w:rPr>
          <w:lang w:val="en-US"/>
        </w:rPr>
        <w:t>doi:10.1016/j.nmd</w:t>
      </w:r>
      <w:proofErr w:type="gramEnd"/>
      <w:r w:rsidRPr="00567928">
        <w:rPr>
          <w:lang w:val="en-US"/>
        </w:rPr>
        <w:t>.2018.11.008</w:t>
      </w:r>
    </w:p>
    <w:p w14:paraId="6D6442CB" w14:textId="77777777" w:rsidR="00307C0F" w:rsidRPr="00567928" w:rsidRDefault="00307C0F" w:rsidP="00307C0F">
      <w:pPr>
        <w:numPr>
          <w:ilvl w:val="0"/>
          <w:numId w:val="8"/>
        </w:numPr>
        <w:autoSpaceDE w:val="0"/>
        <w:autoSpaceDN w:val="0"/>
        <w:adjustRightInd w:val="0"/>
        <w:spacing w:line="276" w:lineRule="auto"/>
        <w:jc w:val="both"/>
        <w:rPr>
          <w:lang w:val="en-US"/>
        </w:rPr>
      </w:pPr>
      <w:r w:rsidRPr="00567928">
        <w:rPr>
          <w:lang w:val="en-US"/>
        </w:rPr>
        <w:t xml:space="preserve">Bryant A, Atkins H, Pringle CE, et al. Myasthenia Gravis Treated </w:t>
      </w:r>
      <w:proofErr w:type="gramStart"/>
      <w:r w:rsidRPr="00567928">
        <w:rPr>
          <w:lang w:val="en-US"/>
        </w:rPr>
        <w:t>With</w:t>
      </w:r>
      <w:proofErr w:type="gramEnd"/>
      <w:r w:rsidRPr="00567928">
        <w:rPr>
          <w:lang w:val="en-US"/>
        </w:rPr>
        <w:t xml:space="preserve"> Autologous Hematopoietic Stem Cell Transplantation. JAMA Neurol. 2016;73(6):652-658. doi:10.1001/jamaneurol.2016.0113</w:t>
      </w:r>
    </w:p>
    <w:p w14:paraId="3A636786"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nl-NL"/>
        </w:rPr>
        <w:t xml:space="preserve">Jaretzki A, Barohn RJ, Ernstoff RM, et al. </w:t>
      </w:r>
      <w:r w:rsidRPr="00C81BA0">
        <w:rPr>
          <w:lang w:val="en-US"/>
        </w:rPr>
        <w:t>Myasthenia gravis: recommendations for clinical research standards. Task Force of the Medical Scientific Advisory Board of the Myasthenia Gravis Foundation of America. Neurology. 2000;55(1):16-23. doi:10.1212/wnl.55.1.16.</w:t>
      </w:r>
    </w:p>
    <w:p w14:paraId="12874A3D"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Wolfe GI, Herbelin L, Nations SP, Foster B, Bryan WW, </w:t>
      </w:r>
      <w:proofErr w:type="spellStart"/>
      <w:r w:rsidRPr="00C81BA0">
        <w:rPr>
          <w:lang w:val="en-US"/>
        </w:rPr>
        <w:t>Barohn</w:t>
      </w:r>
      <w:proofErr w:type="spellEnd"/>
      <w:r w:rsidRPr="00C81BA0">
        <w:rPr>
          <w:lang w:val="en-US"/>
        </w:rPr>
        <w:t xml:space="preserve"> RJ. Myasthenia gravis activities of daily living profile. Neurology. 1999;52(7):1487-1489. doi:10.1212/wnl.52.7.1487.</w:t>
      </w:r>
    </w:p>
    <w:p w14:paraId="6B37AF5E" w14:textId="77777777" w:rsidR="00307C0F" w:rsidRPr="00C81BA0" w:rsidRDefault="00307C0F" w:rsidP="00307C0F">
      <w:pPr>
        <w:numPr>
          <w:ilvl w:val="0"/>
          <w:numId w:val="8"/>
        </w:numPr>
        <w:autoSpaceDE w:val="0"/>
        <w:autoSpaceDN w:val="0"/>
        <w:adjustRightInd w:val="0"/>
        <w:spacing w:line="276" w:lineRule="auto"/>
        <w:jc w:val="both"/>
        <w:rPr>
          <w:lang w:val="en-US"/>
        </w:rPr>
      </w:pPr>
      <w:proofErr w:type="spellStart"/>
      <w:r w:rsidRPr="00C81BA0">
        <w:rPr>
          <w:lang w:val="en-US"/>
        </w:rPr>
        <w:t>Barohn</w:t>
      </w:r>
      <w:proofErr w:type="spellEnd"/>
      <w:r w:rsidRPr="00C81BA0">
        <w:rPr>
          <w:lang w:val="en-US"/>
        </w:rPr>
        <w:t xml:space="preserve"> RJ, McIntire D, Herbelin L, Wolfe GI, </w:t>
      </w:r>
      <w:proofErr w:type="spellStart"/>
      <w:r w:rsidRPr="00C81BA0">
        <w:rPr>
          <w:lang w:val="en-US"/>
        </w:rPr>
        <w:t>Nations</w:t>
      </w:r>
      <w:proofErr w:type="spellEnd"/>
      <w:r w:rsidRPr="00C81BA0">
        <w:rPr>
          <w:lang w:val="en-US"/>
        </w:rPr>
        <w:t xml:space="preserve"> S, Bryan WW. Reliability testing of the quantitative myasthenia gravis score. Ann N Y </w:t>
      </w:r>
      <w:proofErr w:type="spellStart"/>
      <w:r w:rsidRPr="00C81BA0">
        <w:rPr>
          <w:lang w:val="en-US"/>
        </w:rPr>
        <w:t>Acad</w:t>
      </w:r>
      <w:proofErr w:type="spellEnd"/>
      <w:r w:rsidRPr="00C81BA0">
        <w:rPr>
          <w:lang w:val="en-US"/>
        </w:rPr>
        <w:t xml:space="preserve"> Sci. </w:t>
      </w:r>
      <w:proofErr w:type="gramStart"/>
      <w:r w:rsidRPr="00C81BA0">
        <w:rPr>
          <w:lang w:val="en-US"/>
        </w:rPr>
        <w:t>1998;841:769</w:t>
      </w:r>
      <w:proofErr w:type="gramEnd"/>
      <w:r w:rsidRPr="00C81BA0">
        <w:rPr>
          <w:lang w:val="en-US"/>
        </w:rPr>
        <w:t>-772. doi:10.1111/j.1749-</w:t>
      </w:r>
      <w:proofErr w:type="gramStart"/>
      <w:r w:rsidRPr="00C81BA0">
        <w:rPr>
          <w:lang w:val="en-US"/>
        </w:rPr>
        <w:t>6632.1998.tb</w:t>
      </w:r>
      <w:proofErr w:type="gramEnd"/>
      <w:r w:rsidRPr="00C81BA0">
        <w:rPr>
          <w:lang w:val="en-US"/>
        </w:rPr>
        <w:t>11015.x.</w:t>
      </w:r>
    </w:p>
    <w:p w14:paraId="524FA59B"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Sadjadi R, Conaway M, Cutter G, Sanders DB, Burns TM; MG Composite MG-QOL15 Study Group. Psychometric evaluation of the myasthenia gravis composite using Rasch analysis. Muscle Nerve. 2012;45(6):820-825. doi:10.1002/mus.23260.</w:t>
      </w:r>
    </w:p>
    <w:p w14:paraId="5490F9E8" w14:textId="77777777" w:rsidR="00307C0F" w:rsidRPr="00C81BA0" w:rsidRDefault="00307C0F" w:rsidP="00307C0F">
      <w:pPr>
        <w:numPr>
          <w:ilvl w:val="0"/>
          <w:numId w:val="8"/>
        </w:numPr>
        <w:autoSpaceDE w:val="0"/>
        <w:autoSpaceDN w:val="0"/>
        <w:adjustRightInd w:val="0"/>
        <w:spacing w:line="276" w:lineRule="auto"/>
        <w:jc w:val="both"/>
        <w:rPr>
          <w:lang w:val="en-US"/>
        </w:rPr>
      </w:pPr>
      <w:r w:rsidRPr="00C81BA0">
        <w:rPr>
          <w:lang w:val="en-US"/>
        </w:rPr>
        <w:t xml:space="preserve">Burns TM, Sadjadi R, </w:t>
      </w:r>
      <w:proofErr w:type="spellStart"/>
      <w:r w:rsidRPr="00C81BA0">
        <w:rPr>
          <w:lang w:val="en-US"/>
        </w:rPr>
        <w:t>Utsugisawa</w:t>
      </w:r>
      <w:proofErr w:type="spellEnd"/>
      <w:r w:rsidRPr="00C81BA0">
        <w:rPr>
          <w:lang w:val="en-US"/>
        </w:rPr>
        <w:t xml:space="preserve"> K, et al. International </w:t>
      </w:r>
      <w:proofErr w:type="spellStart"/>
      <w:r w:rsidRPr="00C81BA0">
        <w:rPr>
          <w:lang w:val="en-US"/>
        </w:rPr>
        <w:t>clinimetric</w:t>
      </w:r>
      <w:proofErr w:type="spellEnd"/>
      <w:r w:rsidRPr="00C81BA0">
        <w:rPr>
          <w:lang w:val="en-US"/>
        </w:rPr>
        <w:t xml:space="preserve"> evaluation of the MG-QOL15, resulting in slight revision and subsequent validation of the MG-QOL15r. </w:t>
      </w:r>
      <w:r w:rsidRPr="00C81BA0">
        <w:t xml:space="preserve">Muscle </w:t>
      </w:r>
      <w:proofErr w:type="spellStart"/>
      <w:r w:rsidRPr="00C81BA0">
        <w:t>Nerve</w:t>
      </w:r>
      <w:proofErr w:type="spellEnd"/>
      <w:r w:rsidRPr="00C81BA0">
        <w:t xml:space="preserve">. 2016;54(6):1015-1022. </w:t>
      </w:r>
      <w:proofErr w:type="gramStart"/>
      <w:r w:rsidRPr="00C81BA0">
        <w:t>doi:10.1002</w:t>
      </w:r>
      <w:proofErr w:type="gramEnd"/>
      <w:r w:rsidRPr="00C81BA0">
        <w:t>/</w:t>
      </w:r>
      <w:proofErr w:type="spellStart"/>
      <w:r w:rsidRPr="00C81BA0">
        <w:t>mus</w:t>
      </w:r>
      <w:proofErr w:type="spellEnd"/>
      <w:r w:rsidRPr="00C81BA0">
        <w:t>.</w:t>
      </w:r>
    </w:p>
    <w:p w14:paraId="58D027E0" w14:textId="77777777" w:rsidR="00307C0F" w:rsidRDefault="00307C0F" w:rsidP="00307C0F">
      <w:pPr>
        <w:numPr>
          <w:ilvl w:val="0"/>
          <w:numId w:val="8"/>
        </w:numPr>
        <w:autoSpaceDE w:val="0"/>
        <w:autoSpaceDN w:val="0"/>
        <w:adjustRightInd w:val="0"/>
        <w:spacing w:line="276" w:lineRule="auto"/>
        <w:jc w:val="both"/>
        <w:rPr>
          <w:lang w:val="en-US"/>
        </w:rPr>
      </w:pPr>
      <w:r w:rsidRPr="005B2DE6">
        <w:rPr>
          <w:lang w:val="en-US"/>
        </w:rPr>
        <w:t xml:space="preserve">Kiessling P, Lledo-Garcia R, Watanabe S, et al. The FcRn inhibitor </w:t>
      </w:r>
      <w:proofErr w:type="spellStart"/>
      <w:r w:rsidRPr="005B2DE6">
        <w:rPr>
          <w:lang w:val="en-US"/>
        </w:rPr>
        <w:t>rozanolixizumab</w:t>
      </w:r>
      <w:proofErr w:type="spellEnd"/>
      <w:r w:rsidRPr="005B2DE6">
        <w:rPr>
          <w:lang w:val="en-US"/>
        </w:rPr>
        <w:t xml:space="preserve"> reduces human serum IgG concentration: A randomized phase 1 study [published correction appears in Sci </w:t>
      </w:r>
      <w:proofErr w:type="spellStart"/>
      <w:r w:rsidRPr="005B2DE6">
        <w:rPr>
          <w:lang w:val="en-US"/>
        </w:rPr>
        <w:t>Transl</w:t>
      </w:r>
      <w:proofErr w:type="spellEnd"/>
      <w:r w:rsidRPr="005B2DE6">
        <w:rPr>
          <w:lang w:val="en-US"/>
        </w:rPr>
        <w:t xml:space="preserve"> Med. 2017 Dec 6;9(419):]. Sci </w:t>
      </w:r>
      <w:proofErr w:type="spellStart"/>
      <w:r w:rsidRPr="005B2DE6">
        <w:rPr>
          <w:lang w:val="en-US"/>
        </w:rPr>
        <w:t>Transl</w:t>
      </w:r>
      <w:proofErr w:type="spellEnd"/>
      <w:r w:rsidRPr="005B2DE6">
        <w:rPr>
          <w:lang w:val="en-US"/>
        </w:rPr>
        <w:t xml:space="preserve"> Med. 2017;9(414</w:t>
      </w:r>
      <w:proofErr w:type="gramStart"/>
      <w:r w:rsidRPr="005B2DE6">
        <w:rPr>
          <w:lang w:val="en-US"/>
        </w:rPr>
        <w:t>):eaan</w:t>
      </w:r>
      <w:proofErr w:type="gramEnd"/>
      <w:r w:rsidRPr="005B2DE6">
        <w:rPr>
          <w:lang w:val="en-US"/>
        </w:rPr>
        <w:t>1208. doi:10.1126/</w:t>
      </w:r>
      <w:proofErr w:type="gramStart"/>
      <w:r w:rsidRPr="005B2DE6">
        <w:rPr>
          <w:lang w:val="en-US"/>
        </w:rPr>
        <w:t>scitranslmed.aan</w:t>
      </w:r>
      <w:proofErr w:type="gramEnd"/>
      <w:r w:rsidRPr="005B2DE6">
        <w:rPr>
          <w:lang w:val="en-US"/>
        </w:rPr>
        <w:t>1208</w:t>
      </w:r>
    </w:p>
    <w:p w14:paraId="44969A1C" w14:textId="77777777" w:rsidR="00307C0F" w:rsidRDefault="00307C0F" w:rsidP="00307C0F">
      <w:pPr>
        <w:numPr>
          <w:ilvl w:val="0"/>
          <w:numId w:val="8"/>
        </w:numPr>
        <w:autoSpaceDE w:val="0"/>
        <w:autoSpaceDN w:val="0"/>
        <w:adjustRightInd w:val="0"/>
        <w:spacing w:line="276" w:lineRule="auto"/>
        <w:jc w:val="both"/>
        <w:rPr>
          <w:lang w:val="en-US"/>
        </w:rPr>
      </w:pPr>
      <w:proofErr w:type="spellStart"/>
      <w:r w:rsidRPr="005B2DE6">
        <w:rPr>
          <w:lang w:val="en-US"/>
        </w:rPr>
        <w:t>Brandsema</w:t>
      </w:r>
      <w:proofErr w:type="spellEnd"/>
      <w:r w:rsidRPr="005B2DE6">
        <w:rPr>
          <w:lang w:val="en-US"/>
        </w:rPr>
        <w:t xml:space="preserve"> JF, Ginsberg M, Hoshino H, et al. A phase 3, open-label, multicenter study to evaluate eculizumab in adolescents with refractory myasthenia gravis. [abstract]. 2023 AAN Annual Meeting</w:t>
      </w:r>
      <w:r>
        <w:rPr>
          <w:lang w:val="en-US"/>
        </w:rPr>
        <w:t xml:space="preserve">. Available from: </w:t>
      </w:r>
      <w:hyperlink r:id="rId15" w:history="1">
        <w:r w:rsidRPr="00D62683">
          <w:rPr>
            <w:rStyle w:val="Collegamentoipertestuale"/>
            <w:lang w:val="en-US"/>
          </w:rPr>
          <w:t>https://www.ean.org/research/resources/neurology-updates/detail/eculizumab-efficacy-in-adolescents-with-myasthenia-gravis</w:t>
        </w:r>
      </w:hyperlink>
    </w:p>
    <w:p w14:paraId="60A306ED" w14:textId="77777777" w:rsidR="00307C0F" w:rsidRDefault="00307C0F" w:rsidP="00307C0F">
      <w:pPr>
        <w:numPr>
          <w:ilvl w:val="0"/>
          <w:numId w:val="8"/>
        </w:numPr>
        <w:autoSpaceDE w:val="0"/>
        <w:autoSpaceDN w:val="0"/>
        <w:adjustRightInd w:val="0"/>
        <w:spacing w:line="276" w:lineRule="auto"/>
        <w:jc w:val="both"/>
        <w:rPr>
          <w:lang w:val="en-US"/>
        </w:rPr>
      </w:pPr>
      <w:r w:rsidRPr="005B2DE6">
        <w:rPr>
          <w:lang w:val="en-US"/>
        </w:rPr>
        <w:t xml:space="preserve">Howard JF Jr, </w:t>
      </w:r>
      <w:proofErr w:type="spellStart"/>
      <w:r w:rsidRPr="005B2DE6">
        <w:rPr>
          <w:lang w:val="en-US"/>
        </w:rPr>
        <w:t>Barohn</w:t>
      </w:r>
      <w:proofErr w:type="spellEnd"/>
      <w:r w:rsidRPr="005B2DE6">
        <w:rPr>
          <w:lang w:val="en-US"/>
        </w:rPr>
        <w:t xml:space="preserve"> RJ, Cutter GR, et al. A randomized, double-blind, placebo-controlled phase II study of eculizumab in patients with refractory generalized myasthenia gravis. Muscle Nerve. 2013;48(1):76-84. doi:10.1002/mus.23839</w:t>
      </w:r>
    </w:p>
    <w:p w14:paraId="694D9B5F"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5B2DE6">
        <w:rPr>
          <w:lang w:val="en-US"/>
        </w:rPr>
        <w:t xml:space="preserve">NCT02965573. Available from: </w:t>
      </w:r>
      <w:hyperlink r:id="rId16" w:anchor="publications" w:history="1">
        <w:r w:rsidRPr="00D62683">
          <w:rPr>
            <w:rStyle w:val="Collegamentoipertestuale"/>
            <w:lang w:val="en-US"/>
          </w:rPr>
          <w:t>https://clinicaltrials.gov/study/NCT02965573?tab=results#publications</w:t>
        </w:r>
      </w:hyperlink>
    </w:p>
    <w:p w14:paraId="614E6D37"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5B2DE6">
        <w:rPr>
          <w:lang w:val="en-US"/>
        </w:rPr>
        <w:lastRenderedPageBreak/>
        <w:t>NCT03770403</w:t>
      </w:r>
      <w:r>
        <w:rPr>
          <w:lang w:val="en-US"/>
        </w:rPr>
        <w:t xml:space="preserve">. Available from: </w:t>
      </w:r>
      <w:hyperlink r:id="rId17" w:anchor="publications" w:history="1">
        <w:r w:rsidRPr="00D62683">
          <w:rPr>
            <w:rStyle w:val="Collegamentoipertestuale"/>
            <w:lang w:val="en-US"/>
          </w:rPr>
          <w:t>https://clinicaltrials.gov/study/NCT03770403?tab=results#publications</w:t>
        </w:r>
      </w:hyperlink>
    </w:p>
    <w:p w14:paraId="18C0D1CA"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5B2DE6">
        <w:rPr>
          <w:lang w:val="en-US"/>
        </w:rPr>
        <w:t xml:space="preserve">NCT05374590. Available from: </w:t>
      </w:r>
      <w:hyperlink r:id="rId18" w:history="1">
        <w:r w:rsidRPr="00D62683">
          <w:rPr>
            <w:rStyle w:val="Collegamentoipertestuale"/>
            <w:lang w:val="en-US"/>
          </w:rPr>
          <w:t>https://clinicaltrials.gov/study/NCT05374590?term=NCT05374590%20&amp;rank=1</w:t>
        </w:r>
      </w:hyperlink>
    </w:p>
    <w:p w14:paraId="383D010F"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5B2DE6">
        <w:rPr>
          <w:lang w:val="en-US"/>
        </w:rPr>
        <w:t>NCT04833894</w:t>
      </w:r>
      <w:r>
        <w:rPr>
          <w:lang w:val="en-US"/>
        </w:rPr>
        <w:t xml:space="preserve">. Available from: </w:t>
      </w:r>
      <w:hyperlink r:id="rId19" w:history="1">
        <w:r w:rsidRPr="00D62683">
          <w:rPr>
            <w:rStyle w:val="Collegamentoipertestuale"/>
            <w:lang w:val="en-US"/>
          </w:rPr>
          <w:t>https://clinicaltrials.gov/study/NCT04833894?term=NCT04833894%20&amp;rank=1</w:t>
        </w:r>
      </w:hyperlink>
    </w:p>
    <w:p w14:paraId="175E6BA7"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5B2DE6">
        <w:rPr>
          <w:lang w:val="en-US"/>
        </w:rPr>
        <w:t>NCT04818671</w:t>
      </w:r>
      <w:r>
        <w:rPr>
          <w:lang w:val="en-US"/>
        </w:rPr>
        <w:t xml:space="preserve">. Available from: </w:t>
      </w:r>
      <w:hyperlink r:id="rId20" w:history="1">
        <w:r w:rsidRPr="00D62683">
          <w:rPr>
            <w:rStyle w:val="Collegamentoipertestuale"/>
            <w:lang w:val="en-US"/>
          </w:rPr>
          <w:t>https://clinicaltrials.gov/study/NCT04818671?term=NCT04818671%20&amp;rank=1</w:t>
        </w:r>
      </w:hyperlink>
    </w:p>
    <w:p w14:paraId="1C5498EC"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5B2DE6">
        <w:rPr>
          <w:lang w:val="en-US"/>
        </w:rPr>
        <w:t>NCT04735432</w:t>
      </w:r>
      <w:r>
        <w:rPr>
          <w:lang w:val="en-US"/>
        </w:rPr>
        <w:t xml:space="preserve">. Available from: </w:t>
      </w:r>
      <w:hyperlink r:id="rId21" w:history="1">
        <w:r w:rsidRPr="00D62683">
          <w:rPr>
            <w:rStyle w:val="Collegamentoipertestuale"/>
            <w:lang w:val="en-US"/>
          </w:rPr>
          <w:t>https://classic.clinicaltrials.gov/ct2/show/results/NCT04735432</w:t>
        </w:r>
      </w:hyperlink>
    </w:p>
    <w:p w14:paraId="747B5280"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5B2DE6">
        <w:rPr>
          <w:lang w:val="en-US"/>
        </w:rPr>
        <w:t>NCT05644561</w:t>
      </w:r>
      <w:r>
        <w:rPr>
          <w:lang w:val="en-US"/>
        </w:rPr>
        <w:t xml:space="preserve">. Available from: </w:t>
      </w:r>
      <w:hyperlink r:id="rId22" w:history="1">
        <w:r w:rsidRPr="00D62683">
          <w:rPr>
            <w:rStyle w:val="Collegamentoipertestuale"/>
            <w:lang w:val="en-US"/>
          </w:rPr>
          <w:t>https://clinicaltrials.gov/study/NCT05644561?term=NCT05644561&amp;rank=1</w:t>
        </w:r>
      </w:hyperlink>
    </w:p>
    <w:p w14:paraId="3A18DE41"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5B2DE6">
        <w:rPr>
          <w:lang w:val="en-US"/>
        </w:rPr>
        <w:t>NCT05681715</w:t>
      </w:r>
      <w:r>
        <w:rPr>
          <w:lang w:val="en-US"/>
        </w:rPr>
        <w:t xml:space="preserve">. Available from: </w:t>
      </w:r>
      <w:hyperlink r:id="rId23" w:history="1">
        <w:r w:rsidRPr="00D62683">
          <w:rPr>
            <w:rStyle w:val="Collegamentoipertestuale"/>
            <w:lang w:val="en-US"/>
          </w:rPr>
          <w:t>https://clinicaltrials.gov/study/NCT05681715?term=NCT05681715%20&amp;rank=1</w:t>
        </w:r>
      </w:hyperlink>
    </w:p>
    <w:p w14:paraId="671330DD"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5B2DE6">
        <w:rPr>
          <w:lang w:val="en-US"/>
        </w:rPr>
        <w:t>NCT04650854</w:t>
      </w:r>
      <w:r>
        <w:rPr>
          <w:lang w:val="en-US"/>
        </w:rPr>
        <w:t xml:space="preserve">. Available from: </w:t>
      </w:r>
      <w:hyperlink r:id="rId24" w:history="1">
        <w:r w:rsidRPr="00D62683">
          <w:rPr>
            <w:rStyle w:val="Collegamentoipertestuale"/>
            <w:lang w:val="en-US"/>
          </w:rPr>
          <w:t>https://clinicaltrials.gov/study/NCT04650854?term=NCT04650854%20&amp;rank=1</w:t>
        </w:r>
      </w:hyperlink>
    </w:p>
    <w:p w14:paraId="6646728A"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DD51E3">
        <w:rPr>
          <w:lang w:val="en-US"/>
        </w:rPr>
        <w:t xml:space="preserve">NCT04124965. </w:t>
      </w:r>
      <w:r>
        <w:rPr>
          <w:lang w:val="en-US"/>
        </w:rPr>
        <w:t xml:space="preserve">Available from: </w:t>
      </w:r>
      <w:hyperlink r:id="rId25" w:anchor="publications" w:history="1">
        <w:r w:rsidRPr="00D62683">
          <w:rPr>
            <w:rStyle w:val="Collegamentoipertestuale"/>
            <w:lang w:val="en-US"/>
          </w:rPr>
          <w:t>https://clinicaltrials.gov/study/NCT04124965?tab=results#publications</w:t>
        </w:r>
      </w:hyperlink>
    </w:p>
    <w:p w14:paraId="37A4F352"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proofErr w:type="spellStart"/>
      <w:r w:rsidRPr="00DD51E3">
        <w:t>Bril</w:t>
      </w:r>
      <w:proofErr w:type="spellEnd"/>
      <w:r w:rsidRPr="00DD51E3">
        <w:t xml:space="preserve"> V, </w:t>
      </w:r>
      <w:proofErr w:type="spellStart"/>
      <w:r w:rsidRPr="00DD51E3">
        <w:t>Benatar</w:t>
      </w:r>
      <w:proofErr w:type="spellEnd"/>
      <w:r w:rsidRPr="00DD51E3">
        <w:t xml:space="preserve"> M, Andersen H, et al. </w:t>
      </w:r>
      <w:r w:rsidRPr="00DD51E3">
        <w:rPr>
          <w:lang w:val="en-US"/>
        </w:rPr>
        <w:t xml:space="preserve">Efficacy and Safety of </w:t>
      </w:r>
      <w:proofErr w:type="spellStart"/>
      <w:r w:rsidRPr="00DD51E3">
        <w:rPr>
          <w:lang w:val="en-US"/>
        </w:rPr>
        <w:t>Rozanolixizumab</w:t>
      </w:r>
      <w:proofErr w:type="spellEnd"/>
      <w:r w:rsidRPr="00DD51E3">
        <w:rPr>
          <w:lang w:val="en-US"/>
        </w:rPr>
        <w:t xml:space="preserve"> in Moderate to Severe Generalized Myasthenia Gravis: A Phase 2 Randomized Control Trial. Neurology. 2021;96(6</w:t>
      </w:r>
      <w:proofErr w:type="gramStart"/>
      <w:r w:rsidRPr="00DD51E3">
        <w:rPr>
          <w:lang w:val="en-US"/>
        </w:rPr>
        <w:t>):e</w:t>
      </w:r>
      <w:proofErr w:type="gramEnd"/>
      <w:r w:rsidRPr="00DD51E3">
        <w:rPr>
          <w:lang w:val="en-US"/>
        </w:rPr>
        <w:t xml:space="preserve">853-e865. </w:t>
      </w:r>
      <w:proofErr w:type="spellStart"/>
      <w:r w:rsidRPr="00DD51E3">
        <w:rPr>
          <w:lang w:val="en-US"/>
        </w:rPr>
        <w:t>doi</w:t>
      </w:r>
      <w:proofErr w:type="spellEnd"/>
      <w:r w:rsidRPr="00DD51E3">
        <w:rPr>
          <w:lang w:val="en-US"/>
        </w:rPr>
        <w:t>: 10.1212/WNL.0000000000011108.</w:t>
      </w:r>
    </w:p>
    <w:p w14:paraId="4E176CCD"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DD51E3">
        <w:rPr>
          <w:lang w:val="en-US"/>
        </w:rPr>
        <w:t>NCT04225871</w:t>
      </w:r>
      <w:r>
        <w:rPr>
          <w:lang w:val="en-US"/>
        </w:rPr>
        <w:t xml:space="preserve">. Available from: </w:t>
      </w:r>
      <w:hyperlink r:id="rId26" w:history="1">
        <w:r w:rsidRPr="00D62683">
          <w:rPr>
            <w:rStyle w:val="Collegamentoipertestuale"/>
            <w:lang w:val="en-US"/>
          </w:rPr>
          <w:t>https://clinicaltrials.gov/study/NCT04225871?term=NCT04225871&amp;rank=1</w:t>
        </w:r>
      </w:hyperlink>
    </w:p>
    <w:p w14:paraId="73B5D068"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DD51E3">
        <w:rPr>
          <w:lang w:val="en-US"/>
        </w:rPr>
        <w:t>NCT05514873</w:t>
      </w:r>
      <w:r>
        <w:rPr>
          <w:lang w:val="en-US"/>
        </w:rPr>
        <w:t xml:space="preserve">. Available from: </w:t>
      </w:r>
      <w:hyperlink r:id="rId27" w:history="1">
        <w:r w:rsidRPr="00D62683">
          <w:rPr>
            <w:rStyle w:val="Collegamentoipertestuale"/>
            <w:lang w:val="en-US"/>
          </w:rPr>
          <w:t>https://clinicaltrials.gov/study/NCT05514873?term=NCT05514873&amp;rank=1</w:t>
        </w:r>
      </w:hyperlink>
    </w:p>
    <w:p w14:paraId="2109211E"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DD51E3">
        <w:rPr>
          <w:lang w:val="en-US"/>
        </w:rPr>
        <w:t xml:space="preserve">Howard JF Jr, Nowak RJ, Wolfe GI, et al. Clinical Effects of the Self-administered Subcutaneous Complement Inhibitor </w:t>
      </w:r>
      <w:proofErr w:type="spellStart"/>
      <w:r w:rsidRPr="00DD51E3">
        <w:rPr>
          <w:lang w:val="en-US"/>
        </w:rPr>
        <w:t>Zilucoplan</w:t>
      </w:r>
      <w:proofErr w:type="spellEnd"/>
      <w:r w:rsidRPr="00DD51E3">
        <w:rPr>
          <w:lang w:val="en-US"/>
        </w:rPr>
        <w:t xml:space="preserve"> in Patients </w:t>
      </w:r>
      <w:proofErr w:type="gramStart"/>
      <w:r w:rsidRPr="00DD51E3">
        <w:rPr>
          <w:lang w:val="en-US"/>
        </w:rPr>
        <w:t>With</w:t>
      </w:r>
      <w:proofErr w:type="gramEnd"/>
      <w:r w:rsidRPr="00DD51E3">
        <w:rPr>
          <w:lang w:val="en-US"/>
        </w:rPr>
        <w:t xml:space="preserve"> Moderate to Severe Generalized Myasthenia Gravis: Results of a Phase 2 Randomized, Double-Blind, Placebo-Controlled, Multicenter Clinical Trial. JAMA Neurol. 2020;77(5):582-592. doi:10.1001/jamaneurol.2019.5125</w:t>
      </w:r>
    </w:p>
    <w:p w14:paraId="76482EC6"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DD51E3">
        <w:rPr>
          <w:lang w:val="en-US"/>
        </w:rPr>
        <w:t>NCT04777734</w:t>
      </w:r>
      <w:r>
        <w:rPr>
          <w:lang w:val="en-US"/>
        </w:rPr>
        <w:t xml:space="preserve">. Available from: </w:t>
      </w:r>
      <w:hyperlink r:id="rId28" w:history="1">
        <w:r w:rsidRPr="00D62683">
          <w:rPr>
            <w:rStyle w:val="Collegamentoipertestuale"/>
            <w:lang w:val="en-US"/>
          </w:rPr>
          <w:t>https://clinicaltrials.gov/study/NCT04777734?term=NCT04777734&amp;rank=1</w:t>
        </w:r>
      </w:hyperlink>
    </w:p>
    <w:p w14:paraId="4A374895"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DD51E3">
        <w:rPr>
          <w:lang w:val="en-US"/>
        </w:rPr>
        <w:t>NCT04202341</w:t>
      </w:r>
      <w:r>
        <w:rPr>
          <w:lang w:val="en-US"/>
        </w:rPr>
        <w:t xml:space="preserve">. Available from: </w:t>
      </w:r>
      <w:hyperlink r:id="rId29" w:history="1">
        <w:r w:rsidRPr="00D62683">
          <w:rPr>
            <w:rStyle w:val="Collegamentoipertestuale"/>
            <w:lang w:val="en-US"/>
          </w:rPr>
          <w:t>https://clinicaltrials.gov/study/NCT04202341?term=NCT04202341&amp;rank=1</w:t>
        </w:r>
      </w:hyperlink>
    </w:p>
    <w:p w14:paraId="45E85046"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DD51E3">
        <w:rPr>
          <w:lang w:val="en-US"/>
        </w:rPr>
        <w:t>NCT05403541</w:t>
      </w:r>
      <w:r>
        <w:rPr>
          <w:lang w:val="en-US"/>
        </w:rPr>
        <w:t xml:space="preserve">. Available from: </w:t>
      </w:r>
      <w:hyperlink r:id="rId30" w:history="1">
        <w:r w:rsidRPr="00D62683">
          <w:rPr>
            <w:rStyle w:val="Collegamentoipertestuale"/>
            <w:lang w:val="en-US"/>
          </w:rPr>
          <w:t>https://clinicaltrials.gov/study/NCT05403541?term=NCT05403541&amp;rank=1</w:t>
        </w:r>
      </w:hyperlink>
    </w:p>
    <w:p w14:paraId="7C5C6697"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DD51E3">
        <w:rPr>
          <w:lang w:val="en-US"/>
        </w:rPr>
        <w:t>NCT05039190</w:t>
      </w:r>
      <w:r>
        <w:rPr>
          <w:lang w:val="en-US"/>
        </w:rPr>
        <w:t xml:space="preserve">. Available from: </w:t>
      </w:r>
      <w:hyperlink r:id="rId31" w:history="1">
        <w:r w:rsidRPr="00D62683">
          <w:rPr>
            <w:rStyle w:val="Collegamentoipertestuale"/>
            <w:lang w:val="en-US"/>
          </w:rPr>
          <w:t>https://clinicaltrials.gov/study/NCT05039190?term=NCT05039190%20&amp;rank=1</w:t>
        </w:r>
      </w:hyperlink>
    </w:p>
    <w:p w14:paraId="7FD8B4E6"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DD51E3">
        <w:rPr>
          <w:lang w:val="en-US"/>
        </w:rPr>
        <w:lastRenderedPageBreak/>
        <w:t xml:space="preserve">Yan C, Duan RS, Yang H, et al. Therapeutic Effects of </w:t>
      </w:r>
      <w:proofErr w:type="spellStart"/>
      <w:r w:rsidRPr="00DD51E3">
        <w:rPr>
          <w:lang w:val="en-US"/>
        </w:rPr>
        <w:t>Batoclimab</w:t>
      </w:r>
      <w:proofErr w:type="spellEnd"/>
      <w:r w:rsidRPr="00DD51E3">
        <w:rPr>
          <w:lang w:val="en-US"/>
        </w:rPr>
        <w:t xml:space="preserve"> in Chinese Patients with Generalized Myasthenia Gravis: A Double-Blinded, Randomized, Placebo-Controlled Phase II Study. Neurol Ther. 2022;11(2):815-834. doi:10.1007/s40120-022-00345-9</w:t>
      </w:r>
    </w:p>
    <w:p w14:paraId="37A0DA1C"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DD51E3">
        <w:rPr>
          <w:lang w:val="en-US"/>
        </w:rPr>
        <w:t>NCT05332210</w:t>
      </w:r>
      <w:r>
        <w:rPr>
          <w:lang w:val="en-US"/>
        </w:rPr>
        <w:t xml:space="preserve">. Available from: </w:t>
      </w:r>
      <w:hyperlink r:id="rId32" w:history="1">
        <w:r w:rsidRPr="00D62683">
          <w:rPr>
            <w:rStyle w:val="Collegamentoipertestuale"/>
            <w:lang w:val="en-US"/>
          </w:rPr>
          <w:t>https://clinicaltrials.gov/study/NCT05332210?term=NCT05332210&amp;rank=1</w:t>
        </w:r>
      </w:hyperlink>
    </w:p>
    <w:p w14:paraId="30DC3612"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DD51E3">
        <w:rPr>
          <w:lang w:val="en-US"/>
        </w:rPr>
        <w:t>NCT05556096</w:t>
      </w:r>
      <w:r>
        <w:rPr>
          <w:lang w:val="en-US"/>
        </w:rPr>
        <w:t xml:space="preserve">. Available from: </w:t>
      </w:r>
      <w:hyperlink r:id="rId33" w:history="1">
        <w:r w:rsidRPr="00D62683">
          <w:rPr>
            <w:rStyle w:val="Collegamentoipertestuale"/>
            <w:lang w:val="en-US"/>
          </w:rPr>
          <w:t>https://clinicaltrials.gov/study/NCT05556096?term=NCT05556096%20&amp;rank=1</w:t>
        </w:r>
      </w:hyperlink>
    </w:p>
    <w:p w14:paraId="0B131879"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F30EA8">
        <w:rPr>
          <w:lang w:val="en-US"/>
        </w:rPr>
        <w:t>NCT05265273</w:t>
      </w:r>
      <w:r>
        <w:rPr>
          <w:lang w:val="en-US"/>
        </w:rPr>
        <w:t xml:space="preserve">. Available from: </w:t>
      </w:r>
      <w:hyperlink r:id="rId34" w:history="1">
        <w:r w:rsidRPr="00D62683">
          <w:rPr>
            <w:rStyle w:val="Collegamentoipertestuale"/>
            <w:lang w:val="en-US"/>
          </w:rPr>
          <w:t>https://clinicaltrials.gov/study/NCT05265273?term=NCT05265273&amp;rank=1</w:t>
        </w:r>
      </w:hyperlink>
    </w:p>
    <w:p w14:paraId="769E9BD1"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F30EA8">
        <w:rPr>
          <w:lang w:val="en-US"/>
        </w:rPr>
        <w:t>NCT04951622</w:t>
      </w:r>
      <w:r>
        <w:rPr>
          <w:lang w:val="en-US"/>
        </w:rPr>
        <w:t xml:space="preserve">. Available from: </w:t>
      </w:r>
      <w:hyperlink r:id="rId35" w:history="1">
        <w:r w:rsidRPr="00D62683">
          <w:rPr>
            <w:rStyle w:val="Collegamentoipertestuale"/>
            <w:lang w:val="en-US"/>
          </w:rPr>
          <w:t>https://clinicaltrials.gov/study/NCT04951622?term=NCT04951622%20&amp;rank=1</w:t>
        </w:r>
      </w:hyperlink>
    </w:p>
    <w:p w14:paraId="3DCC942A" w14:textId="77777777" w:rsidR="00307C0F" w:rsidRDefault="00307C0F" w:rsidP="00307C0F">
      <w:pPr>
        <w:numPr>
          <w:ilvl w:val="0"/>
          <w:numId w:val="8"/>
        </w:numPr>
        <w:tabs>
          <w:tab w:val="clear" w:pos="720"/>
        </w:tabs>
        <w:autoSpaceDE w:val="0"/>
        <w:autoSpaceDN w:val="0"/>
        <w:adjustRightInd w:val="0"/>
        <w:spacing w:line="276" w:lineRule="auto"/>
        <w:ind w:left="567"/>
        <w:jc w:val="both"/>
        <w:rPr>
          <w:lang w:val="en-US"/>
        </w:rPr>
      </w:pPr>
      <w:r w:rsidRPr="00F30EA8">
        <w:rPr>
          <w:lang w:val="en-US"/>
        </w:rPr>
        <w:t>NCT03896295</w:t>
      </w:r>
      <w:r>
        <w:rPr>
          <w:lang w:val="en-US"/>
        </w:rPr>
        <w:t xml:space="preserve">. Available from: </w:t>
      </w:r>
      <w:hyperlink r:id="rId36" w:history="1">
        <w:r w:rsidRPr="00D62683">
          <w:rPr>
            <w:rStyle w:val="Collegamentoipertestuale"/>
            <w:lang w:val="en-US"/>
          </w:rPr>
          <w:t>https://clinicaltrials.gov/study/NCT03896295?term=NCT03896295%20&amp;rank=1</w:t>
        </w:r>
      </w:hyperlink>
    </w:p>
    <w:p w14:paraId="6C5CF72E" w14:textId="77777777" w:rsidR="00307C0F" w:rsidRPr="00F30EA8" w:rsidRDefault="00307C0F" w:rsidP="00307C0F">
      <w:pPr>
        <w:numPr>
          <w:ilvl w:val="0"/>
          <w:numId w:val="8"/>
        </w:numPr>
        <w:tabs>
          <w:tab w:val="clear" w:pos="720"/>
        </w:tabs>
        <w:autoSpaceDE w:val="0"/>
        <w:autoSpaceDN w:val="0"/>
        <w:adjustRightInd w:val="0"/>
        <w:spacing w:line="276" w:lineRule="auto"/>
        <w:ind w:left="567"/>
        <w:jc w:val="both"/>
        <w:rPr>
          <w:lang w:val="en-US"/>
        </w:rPr>
      </w:pPr>
      <w:r w:rsidRPr="00F30EA8">
        <w:rPr>
          <w:lang w:val="en-US"/>
        </w:rPr>
        <w:t>NCT03772587</w:t>
      </w:r>
      <w:r>
        <w:rPr>
          <w:lang w:val="en-US"/>
        </w:rPr>
        <w:t xml:space="preserve">. Available from: </w:t>
      </w:r>
      <w:hyperlink r:id="rId37" w:history="1">
        <w:r w:rsidRPr="00D62683">
          <w:rPr>
            <w:rStyle w:val="Collegamentoipertestuale"/>
            <w:lang w:val="en-US"/>
          </w:rPr>
          <w:t>https://clinicaltrials.gov/study/NCT03772587?term=NCT03772587%20&amp;rank=1</w:t>
        </w:r>
      </w:hyperlink>
    </w:p>
    <w:p w14:paraId="45839D71" w14:textId="77777777" w:rsidR="00307C0F" w:rsidRPr="00307C0F" w:rsidRDefault="00307C0F" w:rsidP="00307C0F">
      <w:pPr>
        <w:rPr>
          <w:lang w:val="en-US"/>
        </w:rPr>
      </w:pPr>
    </w:p>
    <w:p w14:paraId="75348E4F" w14:textId="77777777" w:rsidR="005F2E52" w:rsidRPr="00307C0F" w:rsidRDefault="005F2E52">
      <w:pPr>
        <w:rPr>
          <w:lang w:val="en-US"/>
        </w:rPr>
      </w:pPr>
    </w:p>
    <w:sectPr w:rsidR="005F2E52" w:rsidRPr="00307C0F" w:rsidSect="00674A66">
      <w:pgSz w:w="11906" w:h="16838"/>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77ACD9" w14:textId="77777777" w:rsidR="000169C7" w:rsidRDefault="000169C7">
      <w:pPr>
        <w:spacing w:after="0" w:line="240" w:lineRule="auto"/>
      </w:pPr>
      <w:r>
        <w:separator/>
      </w:r>
    </w:p>
  </w:endnote>
  <w:endnote w:type="continuationSeparator" w:id="0">
    <w:p w14:paraId="133CE203" w14:textId="77777777" w:rsidR="000169C7" w:rsidRDefault="000169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8352342"/>
      <w:docPartObj>
        <w:docPartGallery w:val="Page Numbers (Bottom of Page)"/>
        <w:docPartUnique/>
      </w:docPartObj>
    </w:sdtPr>
    <w:sdtContent>
      <w:p w14:paraId="40E64376" w14:textId="77777777" w:rsidR="00550AFC" w:rsidRDefault="00000000">
        <w:pPr>
          <w:pStyle w:val="Pidipagina"/>
          <w:jc w:val="right"/>
        </w:pPr>
        <w:r>
          <w:fldChar w:fldCharType="begin"/>
        </w:r>
        <w:r>
          <w:instrText>PAGE   \* MERGEFORMAT</w:instrText>
        </w:r>
        <w:r>
          <w:fldChar w:fldCharType="separate"/>
        </w:r>
        <w:r>
          <w:t>2</w:t>
        </w:r>
        <w:r>
          <w:fldChar w:fldCharType="end"/>
        </w:r>
      </w:p>
    </w:sdtContent>
  </w:sdt>
  <w:p w14:paraId="5CB6E52D" w14:textId="77777777" w:rsidR="00550AFC" w:rsidRDefault="00550AF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7EA69A" w14:textId="77777777" w:rsidR="000169C7" w:rsidRDefault="000169C7">
      <w:pPr>
        <w:spacing w:after="0" w:line="240" w:lineRule="auto"/>
      </w:pPr>
      <w:r>
        <w:separator/>
      </w:r>
    </w:p>
  </w:footnote>
  <w:footnote w:type="continuationSeparator" w:id="0">
    <w:p w14:paraId="6BA41F60" w14:textId="77777777" w:rsidR="000169C7" w:rsidRDefault="000169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5E35BB"/>
    <w:multiLevelType w:val="hybridMultilevel"/>
    <w:tmpl w:val="F440BEC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2AA36BD5"/>
    <w:multiLevelType w:val="multilevel"/>
    <w:tmpl w:val="2C1448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C24207D"/>
    <w:multiLevelType w:val="hybridMultilevel"/>
    <w:tmpl w:val="11DA322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D0B317D"/>
    <w:multiLevelType w:val="multilevel"/>
    <w:tmpl w:val="8752D5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52E7208"/>
    <w:multiLevelType w:val="hybridMultilevel"/>
    <w:tmpl w:val="5B5440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3137E2F"/>
    <w:multiLevelType w:val="multilevel"/>
    <w:tmpl w:val="6F56B23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F4713DD"/>
    <w:multiLevelType w:val="multilevel"/>
    <w:tmpl w:val="95824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4FD34FD"/>
    <w:multiLevelType w:val="multilevel"/>
    <w:tmpl w:val="3D0A19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98F1AE5"/>
    <w:multiLevelType w:val="hybridMultilevel"/>
    <w:tmpl w:val="04A209CC"/>
    <w:lvl w:ilvl="0" w:tplc="329612BE">
      <w:start w:val="1"/>
      <w:numFmt w:val="decimal"/>
      <w:lvlText w:val="%1."/>
      <w:lvlJc w:val="left"/>
      <w:pPr>
        <w:ind w:left="1440" w:hanging="360"/>
      </w:pPr>
    </w:lvl>
    <w:lvl w:ilvl="1" w:tplc="87FC3E46">
      <w:start w:val="1"/>
      <w:numFmt w:val="decimal"/>
      <w:lvlText w:val="%2."/>
      <w:lvlJc w:val="left"/>
      <w:pPr>
        <w:ind w:left="1440" w:hanging="360"/>
      </w:pPr>
    </w:lvl>
    <w:lvl w:ilvl="2" w:tplc="6DE0818E">
      <w:start w:val="1"/>
      <w:numFmt w:val="decimal"/>
      <w:lvlText w:val="%3."/>
      <w:lvlJc w:val="left"/>
      <w:pPr>
        <w:ind w:left="1440" w:hanging="360"/>
      </w:pPr>
    </w:lvl>
    <w:lvl w:ilvl="3" w:tplc="AD287888">
      <w:start w:val="1"/>
      <w:numFmt w:val="decimal"/>
      <w:lvlText w:val="%4."/>
      <w:lvlJc w:val="left"/>
      <w:pPr>
        <w:ind w:left="1440" w:hanging="360"/>
      </w:pPr>
    </w:lvl>
    <w:lvl w:ilvl="4" w:tplc="673E2A28">
      <w:start w:val="1"/>
      <w:numFmt w:val="decimal"/>
      <w:lvlText w:val="%5."/>
      <w:lvlJc w:val="left"/>
      <w:pPr>
        <w:ind w:left="1440" w:hanging="360"/>
      </w:pPr>
    </w:lvl>
    <w:lvl w:ilvl="5" w:tplc="B658E8CC">
      <w:start w:val="1"/>
      <w:numFmt w:val="decimal"/>
      <w:lvlText w:val="%6."/>
      <w:lvlJc w:val="left"/>
      <w:pPr>
        <w:ind w:left="1440" w:hanging="360"/>
      </w:pPr>
    </w:lvl>
    <w:lvl w:ilvl="6" w:tplc="81C24FD8">
      <w:start w:val="1"/>
      <w:numFmt w:val="decimal"/>
      <w:lvlText w:val="%7."/>
      <w:lvlJc w:val="left"/>
      <w:pPr>
        <w:ind w:left="1440" w:hanging="360"/>
      </w:pPr>
    </w:lvl>
    <w:lvl w:ilvl="7" w:tplc="67E06C20">
      <w:start w:val="1"/>
      <w:numFmt w:val="decimal"/>
      <w:lvlText w:val="%8."/>
      <w:lvlJc w:val="left"/>
      <w:pPr>
        <w:ind w:left="1440" w:hanging="360"/>
      </w:pPr>
    </w:lvl>
    <w:lvl w:ilvl="8" w:tplc="6046DDA6">
      <w:start w:val="1"/>
      <w:numFmt w:val="decimal"/>
      <w:lvlText w:val="%9."/>
      <w:lvlJc w:val="left"/>
      <w:pPr>
        <w:ind w:left="1440" w:hanging="360"/>
      </w:pPr>
    </w:lvl>
  </w:abstractNum>
  <w:abstractNum w:abstractNumId="9" w15:restartNumberingAfterBreak="0">
    <w:nsid w:val="637729F2"/>
    <w:multiLevelType w:val="hybridMultilevel"/>
    <w:tmpl w:val="C2780882"/>
    <w:lvl w:ilvl="0" w:tplc="E758C6B4">
      <w:start w:val="1"/>
      <w:numFmt w:val="decimal"/>
      <w:lvlText w:val="%1."/>
      <w:lvlJc w:val="left"/>
      <w:pPr>
        <w:ind w:left="720" w:hanging="360"/>
      </w:pPr>
    </w:lvl>
    <w:lvl w:ilvl="1" w:tplc="8166C034">
      <w:start w:val="1"/>
      <w:numFmt w:val="decimal"/>
      <w:lvlText w:val="%2."/>
      <w:lvlJc w:val="left"/>
      <w:pPr>
        <w:ind w:left="720" w:hanging="360"/>
      </w:pPr>
    </w:lvl>
    <w:lvl w:ilvl="2" w:tplc="1428C6F4">
      <w:start w:val="1"/>
      <w:numFmt w:val="decimal"/>
      <w:lvlText w:val="%3."/>
      <w:lvlJc w:val="left"/>
      <w:pPr>
        <w:ind w:left="720" w:hanging="360"/>
      </w:pPr>
    </w:lvl>
    <w:lvl w:ilvl="3" w:tplc="0B7E4B4A">
      <w:start w:val="1"/>
      <w:numFmt w:val="decimal"/>
      <w:lvlText w:val="%4."/>
      <w:lvlJc w:val="left"/>
      <w:pPr>
        <w:ind w:left="720" w:hanging="360"/>
      </w:pPr>
    </w:lvl>
    <w:lvl w:ilvl="4" w:tplc="EA78B304">
      <w:start w:val="1"/>
      <w:numFmt w:val="decimal"/>
      <w:lvlText w:val="%5."/>
      <w:lvlJc w:val="left"/>
      <w:pPr>
        <w:ind w:left="720" w:hanging="360"/>
      </w:pPr>
    </w:lvl>
    <w:lvl w:ilvl="5" w:tplc="4E546F34">
      <w:start w:val="1"/>
      <w:numFmt w:val="decimal"/>
      <w:lvlText w:val="%6."/>
      <w:lvlJc w:val="left"/>
      <w:pPr>
        <w:ind w:left="720" w:hanging="360"/>
      </w:pPr>
    </w:lvl>
    <w:lvl w:ilvl="6" w:tplc="ACA81D5E">
      <w:start w:val="1"/>
      <w:numFmt w:val="decimal"/>
      <w:lvlText w:val="%7."/>
      <w:lvlJc w:val="left"/>
      <w:pPr>
        <w:ind w:left="720" w:hanging="360"/>
      </w:pPr>
    </w:lvl>
    <w:lvl w:ilvl="7" w:tplc="E0244524">
      <w:start w:val="1"/>
      <w:numFmt w:val="decimal"/>
      <w:lvlText w:val="%8."/>
      <w:lvlJc w:val="left"/>
      <w:pPr>
        <w:ind w:left="720" w:hanging="360"/>
      </w:pPr>
    </w:lvl>
    <w:lvl w:ilvl="8" w:tplc="F21A857E">
      <w:start w:val="1"/>
      <w:numFmt w:val="decimal"/>
      <w:lvlText w:val="%9."/>
      <w:lvlJc w:val="left"/>
      <w:pPr>
        <w:ind w:left="720" w:hanging="360"/>
      </w:pPr>
    </w:lvl>
  </w:abstractNum>
  <w:abstractNum w:abstractNumId="10" w15:restartNumberingAfterBreak="0">
    <w:nsid w:val="650F4D22"/>
    <w:multiLevelType w:val="hybridMultilevel"/>
    <w:tmpl w:val="D002901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611719E"/>
    <w:multiLevelType w:val="multilevel"/>
    <w:tmpl w:val="2E4C77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3C93D0C"/>
    <w:multiLevelType w:val="multilevel"/>
    <w:tmpl w:val="2C1448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76252DFA"/>
    <w:multiLevelType w:val="hybridMultilevel"/>
    <w:tmpl w:val="0DA83B9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A670388"/>
    <w:multiLevelType w:val="multilevel"/>
    <w:tmpl w:val="366E8E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55157011">
    <w:abstractNumId w:val="6"/>
  </w:num>
  <w:num w:numId="2" w16cid:durableId="1988051958">
    <w:abstractNumId w:val="13"/>
  </w:num>
  <w:num w:numId="3" w16cid:durableId="1711147124">
    <w:abstractNumId w:val="2"/>
  </w:num>
  <w:num w:numId="4" w16cid:durableId="457801366">
    <w:abstractNumId w:val="7"/>
  </w:num>
  <w:num w:numId="5" w16cid:durableId="906842416">
    <w:abstractNumId w:val="0"/>
  </w:num>
  <w:num w:numId="6" w16cid:durableId="206142802">
    <w:abstractNumId w:val="12"/>
  </w:num>
  <w:num w:numId="7" w16cid:durableId="2044283257">
    <w:abstractNumId w:val="10"/>
  </w:num>
  <w:num w:numId="8" w16cid:durableId="22413637">
    <w:abstractNumId w:val="11"/>
  </w:num>
  <w:num w:numId="9" w16cid:durableId="755710148">
    <w:abstractNumId w:val="3"/>
  </w:num>
  <w:num w:numId="10" w16cid:durableId="398677546">
    <w:abstractNumId w:val="14"/>
  </w:num>
  <w:num w:numId="11" w16cid:durableId="1637638624">
    <w:abstractNumId w:val="5"/>
  </w:num>
  <w:num w:numId="12" w16cid:durableId="366032129">
    <w:abstractNumId w:val="4"/>
  </w:num>
  <w:num w:numId="13" w16cid:durableId="70853868">
    <w:abstractNumId w:val="1"/>
  </w:num>
  <w:num w:numId="14" w16cid:durableId="1745762296">
    <w:abstractNumId w:val="8"/>
  </w:num>
  <w:num w:numId="15" w16cid:durableId="125077329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319A"/>
    <w:rsid w:val="000169C7"/>
    <w:rsid w:val="000B41BD"/>
    <w:rsid w:val="001841EB"/>
    <w:rsid w:val="00253290"/>
    <w:rsid w:val="00307C0F"/>
    <w:rsid w:val="0033027A"/>
    <w:rsid w:val="00436135"/>
    <w:rsid w:val="00460D94"/>
    <w:rsid w:val="004C0325"/>
    <w:rsid w:val="004C46DE"/>
    <w:rsid w:val="00550AFC"/>
    <w:rsid w:val="005F2E52"/>
    <w:rsid w:val="00615B56"/>
    <w:rsid w:val="006D7AF5"/>
    <w:rsid w:val="007A3887"/>
    <w:rsid w:val="00852BEB"/>
    <w:rsid w:val="008D15EA"/>
    <w:rsid w:val="00A135DD"/>
    <w:rsid w:val="00A37EAC"/>
    <w:rsid w:val="00A708AA"/>
    <w:rsid w:val="00B513DC"/>
    <w:rsid w:val="00C96CD6"/>
    <w:rsid w:val="00E0319A"/>
    <w:rsid w:val="00EA7828"/>
    <w:rsid w:val="00EC5657"/>
    <w:rsid w:val="00ED37F9"/>
    <w:rsid w:val="00EF460A"/>
    <w:rsid w:val="00F148D1"/>
    <w:rsid w:val="00F536C7"/>
    <w:rsid w:val="00FB0C1B"/>
    <w:rsid w:val="00FE3BF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297F0B"/>
  <w15:chartTrackingRefBased/>
  <w15:docId w15:val="{CE10DBBD-FCFE-4CF5-BF16-CC923E0E7D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0319A"/>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xmsolistparagraph">
    <w:name w:val="x_msolistparagraph"/>
    <w:basedOn w:val="Normale"/>
    <w:rsid w:val="00E0319A"/>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Rimandocommento">
    <w:name w:val="annotation reference"/>
    <w:basedOn w:val="Carpredefinitoparagrafo"/>
    <w:uiPriority w:val="99"/>
    <w:semiHidden/>
    <w:unhideWhenUsed/>
    <w:rsid w:val="00E0319A"/>
    <w:rPr>
      <w:sz w:val="16"/>
      <w:szCs w:val="16"/>
    </w:rPr>
  </w:style>
  <w:style w:type="paragraph" w:styleId="Testocommento">
    <w:name w:val="annotation text"/>
    <w:basedOn w:val="Normale"/>
    <w:link w:val="TestocommentoCarattere"/>
    <w:uiPriority w:val="99"/>
    <w:unhideWhenUsed/>
    <w:rsid w:val="00E0319A"/>
    <w:pPr>
      <w:spacing w:line="240" w:lineRule="auto"/>
    </w:pPr>
    <w:rPr>
      <w:sz w:val="20"/>
      <w:szCs w:val="20"/>
    </w:rPr>
  </w:style>
  <w:style w:type="character" w:customStyle="1" w:styleId="TestocommentoCarattere">
    <w:name w:val="Testo commento Carattere"/>
    <w:basedOn w:val="Carpredefinitoparagrafo"/>
    <w:link w:val="Testocommento"/>
    <w:uiPriority w:val="99"/>
    <w:rsid w:val="00E0319A"/>
    <w:rPr>
      <w:sz w:val="20"/>
      <w:szCs w:val="20"/>
    </w:rPr>
  </w:style>
  <w:style w:type="paragraph" w:styleId="Soggettocommento">
    <w:name w:val="annotation subject"/>
    <w:basedOn w:val="Testocommento"/>
    <w:next w:val="Testocommento"/>
    <w:link w:val="SoggettocommentoCarattere"/>
    <w:uiPriority w:val="99"/>
    <w:semiHidden/>
    <w:unhideWhenUsed/>
    <w:rsid w:val="00E0319A"/>
    <w:rPr>
      <w:b/>
      <w:bCs/>
    </w:rPr>
  </w:style>
  <w:style w:type="character" w:customStyle="1" w:styleId="SoggettocommentoCarattere">
    <w:name w:val="Soggetto commento Carattere"/>
    <w:basedOn w:val="TestocommentoCarattere"/>
    <w:link w:val="Soggettocommento"/>
    <w:uiPriority w:val="99"/>
    <w:semiHidden/>
    <w:rsid w:val="00E0319A"/>
    <w:rPr>
      <w:b/>
      <w:bCs/>
      <w:sz w:val="20"/>
      <w:szCs w:val="20"/>
    </w:rPr>
  </w:style>
  <w:style w:type="paragraph" w:customStyle="1" w:styleId="pf0">
    <w:name w:val="pf0"/>
    <w:basedOn w:val="Normale"/>
    <w:rsid w:val="00E0319A"/>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customStyle="1" w:styleId="cf01">
    <w:name w:val="cf01"/>
    <w:basedOn w:val="Carpredefinitoparagrafo"/>
    <w:rsid w:val="00E0319A"/>
    <w:rPr>
      <w:rFonts w:ascii="Segoe UI" w:hAnsi="Segoe UI" w:cs="Segoe UI" w:hint="default"/>
      <w:sz w:val="18"/>
      <w:szCs w:val="18"/>
    </w:rPr>
  </w:style>
  <w:style w:type="character" w:customStyle="1" w:styleId="cf21">
    <w:name w:val="cf21"/>
    <w:basedOn w:val="Carpredefinitoparagrafo"/>
    <w:rsid w:val="00E0319A"/>
    <w:rPr>
      <w:rFonts w:ascii="Segoe UI" w:hAnsi="Segoe UI" w:cs="Segoe UI" w:hint="default"/>
      <w:color w:val="0000FF"/>
      <w:sz w:val="18"/>
      <w:szCs w:val="18"/>
    </w:rPr>
  </w:style>
  <w:style w:type="paragraph" w:styleId="Paragrafoelenco">
    <w:name w:val="List Paragraph"/>
    <w:basedOn w:val="Normale"/>
    <w:uiPriority w:val="34"/>
    <w:qFormat/>
    <w:rsid w:val="00E0319A"/>
    <w:pPr>
      <w:ind w:left="720"/>
      <w:contextualSpacing/>
    </w:pPr>
  </w:style>
  <w:style w:type="character" w:styleId="Collegamentoipertestuale">
    <w:name w:val="Hyperlink"/>
    <w:basedOn w:val="Carpredefinitoparagrafo"/>
    <w:uiPriority w:val="99"/>
    <w:unhideWhenUsed/>
    <w:rsid w:val="00E0319A"/>
    <w:rPr>
      <w:color w:val="0563C1" w:themeColor="hyperlink"/>
      <w:u w:val="single"/>
    </w:rPr>
  </w:style>
  <w:style w:type="table" w:styleId="Grigliatabella">
    <w:name w:val="Table Grid"/>
    <w:basedOn w:val="Tabellanormale"/>
    <w:uiPriority w:val="59"/>
    <w:rsid w:val="00E031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E0319A"/>
    <w:pPr>
      <w:spacing w:after="0" w:line="240" w:lineRule="auto"/>
    </w:pPr>
  </w:style>
  <w:style w:type="paragraph" w:styleId="Intestazione">
    <w:name w:val="header"/>
    <w:basedOn w:val="Normale"/>
    <w:link w:val="IntestazioneCarattere"/>
    <w:uiPriority w:val="99"/>
    <w:unhideWhenUsed/>
    <w:rsid w:val="00E0319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E0319A"/>
  </w:style>
  <w:style w:type="paragraph" w:styleId="Pidipagina">
    <w:name w:val="footer"/>
    <w:basedOn w:val="Normale"/>
    <w:link w:val="PidipaginaCarattere"/>
    <w:uiPriority w:val="99"/>
    <w:unhideWhenUsed/>
    <w:rsid w:val="00E0319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E0319A"/>
  </w:style>
  <w:style w:type="character" w:styleId="Menzionenonrisolta">
    <w:name w:val="Unresolved Mention"/>
    <w:basedOn w:val="Carpredefinitoparagrafo"/>
    <w:uiPriority w:val="99"/>
    <w:semiHidden/>
    <w:unhideWhenUsed/>
    <w:rsid w:val="00E0319A"/>
    <w:rPr>
      <w:color w:val="605E5C"/>
      <w:shd w:val="clear" w:color="auto" w:fill="E1DFDD"/>
    </w:rPr>
  </w:style>
  <w:style w:type="paragraph" w:styleId="Testonotaapidipagina">
    <w:name w:val="footnote text"/>
    <w:basedOn w:val="Normale"/>
    <w:link w:val="TestonotaapidipaginaCarattere"/>
    <w:uiPriority w:val="99"/>
    <w:semiHidden/>
    <w:unhideWhenUsed/>
    <w:rsid w:val="00E0319A"/>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E0319A"/>
    <w:rPr>
      <w:sz w:val="20"/>
      <w:szCs w:val="20"/>
    </w:rPr>
  </w:style>
  <w:style w:type="character" w:styleId="Rimandonotaapidipagina">
    <w:name w:val="footnote reference"/>
    <w:basedOn w:val="Carpredefinitoparagrafo"/>
    <w:uiPriority w:val="99"/>
    <w:semiHidden/>
    <w:unhideWhenUsed/>
    <w:rsid w:val="00E0319A"/>
    <w:rPr>
      <w:vertAlign w:val="superscript"/>
    </w:rPr>
  </w:style>
  <w:style w:type="character" w:customStyle="1" w:styleId="cf11">
    <w:name w:val="cf11"/>
    <w:basedOn w:val="Carpredefinitoparagrafo"/>
    <w:rsid w:val="00E0319A"/>
    <w:rPr>
      <w:rFonts w:ascii="Segoe UI" w:hAnsi="Segoe UI" w:cs="Segoe UI" w:hint="default"/>
      <w:color w:val="0000FF"/>
      <w:sz w:val="18"/>
      <w:szCs w:val="18"/>
    </w:rPr>
  </w:style>
  <w:style w:type="paragraph" w:styleId="NormaleWeb">
    <w:name w:val="Normal (Web)"/>
    <w:basedOn w:val="Normale"/>
    <w:uiPriority w:val="99"/>
    <w:semiHidden/>
    <w:unhideWhenUsed/>
    <w:rsid w:val="00E0319A"/>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Collegamentovisitato">
    <w:name w:val="FollowedHyperlink"/>
    <w:basedOn w:val="Carpredefinitoparagrafo"/>
    <w:uiPriority w:val="99"/>
    <w:semiHidden/>
    <w:unhideWhenUsed/>
    <w:rsid w:val="00E0319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linicaltrials.gov/ct2/show/NCT03920293" TargetMode="External"/><Relationship Id="rId18" Type="http://schemas.openxmlformats.org/officeDocument/2006/relationships/hyperlink" Target="https://clinicaltrials.gov/study/NCT05374590?term=NCT05374590%20&amp;rank=1" TargetMode="External"/><Relationship Id="rId26" Type="http://schemas.openxmlformats.org/officeDocument/2006/relationships/hyperlink" Target="https://clinicaltrials.gov/study/NCT04225871?term=NCT04225871&amp;rank=1" TargetMode="External"/><Relationship Id="rId39" Type="http://schemas.openxmlformats.org/officeDocument/2006/relationships/theme" Target="theme/theme1.xml"/><Relationship Id="rId21" Type="http://schemas.openxmlformats.org/officeDocument/2006/relationships/hyperlink" Target="https://classic.clinicaltrials.gov/ct2/show/results/NCT04735432" TargetMode="External"/><Relationship Id="rId34" Type="http://schemas.openxmlformats.org/officeDocument/2006/relationships/hyperlink" Target="https://clinicaltrials.gov/study/NCT05265273?term=NCT05265273&amp;rank=1" TargetMode="External"/><Relationship Id="rId7" Type="http://schemas.openxmlformats.org/officeDocument/2006/relationships/footer" Target="footer1.xml"/><Relationship Id="rId12" Type="http://schemas.openxmlformats.org/officeDocument/2006/relationships/hyperlink" Target="https://clinicaltrials.gov/ct2/show/NCT04524273" TargetMode="External"/><Relationship Id="rId17" Type="http://schemas.openxmlformats.org/officeDocument/2006/relationships/hyperlink" Target="https://clinicaltrials.gov/study/NCT03770403?tab=results" TargetMode="External"/><Relationship Id="rId25" Type="http://schemas.openxmlformats.org/officeDocument/2006/relationships/hyperlink" Target="https://clinicaltrials.gov/study/NCT04124965?tab=results" TargetMode="External"/><Relationship Id="rId33" Type="http://schemas.openxmlformats.org/officeDocument/2006/relationships/hyperlink" Target="https://clinicaltrials.gov/study/NCT05556096?term=NCT05556096%20&amp;rank=1"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clinicaltrials.gov/study/NCT02965573?tab=results" TargetMode="External"/><Relationship Id="rId20" Type="http://schemas.openxmlformats.org/officeDocument/2006/relationships/hyperlink" Target="https://clinicaltrials.gov/study/NCT04818671?term=NCT04818671%20&amp;rank=1" TargetMode="External"/><Relationship Id="rId29" Type="http://schemas.openxmlformats.org/officeDocument/2006/relationships/hyperlink" Target="https://clinicaltrials.gov/study/NCT04202341?term=NCT04202341&amp;rank=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linicaltrials.gov/ct2/show/NCT04963270" TargetMode="External"/><Relationship Id="rId24" Type="http://schemas.openxmlformats.org/officeDocument/2006/relationships/hyperlink" Target="https://clinicaltrials.gov/study/NCT04650854?term=NCT04650854%20&amp;rank=1" TargetMode="External"/><Relationship Id="rId32" Type="http://schemas.openxmlformats.org/officeDocument/2006/relationships/hyperlink" Target="https://clinicaltrials.gov/study/NCT05332210?term=NCT05332210&amp;rank=1" TargetMode="External"/><Relationship Id="rId37" Type="http://schemas.openxmlformats.org/officeDocument/2006/relationships/hyperlink" Target="https://clinicaltrials.gov/study/NCT03772587?term=NCT03772587%20&amp;rank=1" TargetMode="External"/><Relationship Id="rId5" Type="http://schemas.openxmlformats.org/officeDocument/2006/relationships/footnotes" Target="footnotes.xml"/><Relationship Id="rId15" Type="http://schemas.openxmlformats.org/officeDocument/2006/relationships/hyperlink" Target="https://www.ean.org/research/resources/neurology-updates/detail/eculizumab-efficacy-in-adolescents-with-myasthenia-gravis" TargetMode="External"/><Relationship Id="rId23" Type="http://schemas.openxmlformats.org/officeDocument/2006/relationships/hyperlink" Target="https://clinicaltrials.gov/study/NCT05681715?term=NCT05681715%20&amp;rank=1" TargetMode="External"/><Relationship Id="rId28" Type="http://schemas.openxmlformats.org/officeDocument/2006/relationships/hyperlink" Target="https://clinicaltrials.gov/study/NCT04777734?term=NCT04777734&amp;rank=1" TargetMode="External"/><Relationship Id="rId36" Type="http://schemas.openxmlformats.org/officeDocument/2006/relationships/hyperlink" Target="https://clinicaltrials.gov/study/NCT03896295?term=NCT03896295%20&amp;rank=1" TargetMode="External"/><Relationship Id="rId10" Type="http://schemas.openxmlformats.org/officeDocument/2006/relationships/hyperlink" Target="https://patentimages.storage.googleapis.com/65/a7/0b/ffa1fbbe15794b/WO2014019727A1.pdf" TargetMode="External"/><Relationship Id="rId19" Type="http://schemas.openxmlformats.org/officeDocument/2006/relationships/hyperlink" Target="https://clinicaltrials.gov/study/NCT04833894?term=NCT04833894%20&amp;rank=1" TargetMode="External"/><Relationship Id="rId31" Type="http://schemas.openxmlformats.org/officeDocument/2006/relationships/hyperlink" Target="https://clinicaltrials.gov/study/NCT05039190?term=NCT05039190%20&amp;rank=1" TargetMode="External"/><Relationship Id="rId4" Type="http://schemas.openxmlformats.org/officeDocument/2006/relationships/webSettings" Target="webSettings.xml"/><Relationship Id="rId9" Type="http://schemas.openxmlformats.org/officeDocument/2006/relationships/hyperlink" Target="https://www.accessdata.fda.gov/drugsatfda_docs/label/2022/761108s023lbl.pdf" TargetMode="External"/><Relationship Id="rId14" Type="http://schemas.openxmlformats.org/officeDocument/2006/relationships/hyperlink" Target="https://clinicaltrials.gov/ct2/show/NCT05218096" TargetMode="External"/><Relationship Id="rId22" Type="http://schemas.openxmlformats.org/officeDocument/2006/relationships/hyperlink" Target="https://clinicaltrials.gov/study/NCT05644561?term=NCT05644561&amp;rank=1" TargetMode="External"/><Relationship Id="rId27" Type="http://schemas.openxmlformats.org/officeDocument/2006/relationships/hyperlink" Target="https://clinicaltrials.gov/study/NCT05514873?term=NCT05514873&amp;rank=1" TargetMode="External"/><Relationship Id="rId30" Type="http://schemas.openxmlformats.org/officeDocument/2006/relationships/hyperlink" Target="https://clinicaltrials.gov/study/NCT05403541?term=NCT05403541&amp;rank=1" TargetMode="External"/><Relationship Id="rId35" Type="http://schemas.openxmlformats.org/officeDocument/2006/relationships/hyperlink" Target="https://clinicaltrials.gov/study/NCT04951622?term=NCT04951622%20&amp;rank=1" TargetMode="External"/><Relationship Id="rId8" Type="http://schemas.openxmlformats.org/officeDocument/2006/relationships/hyperlink" Target="https://wayback.archive-it.org/7993/20170405213759/https:/www.fda.gov/downloads/AdvisoryCommittees/CommitteesMeetingMaterials/Drugs/DrugSafetyandRiskManagementAdvisoryCommittee/UCM423030.pdf" TargetMode="External"/><Relationship Id="rId3"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248</TotalTime>
  <Pages>1</Pages>
  <Words>12040</Words>
  <Characters>68629</Characters>
  <Application>Microsoft Office Word</Application>
  <DocSecurity>0</DocSecurity>
  <Lines>571</Lines>
  <Paragraphs>161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80508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Salvatore Crisafulli</dc:creator>
  <cp:keywords/>
  <dc:description/>
  <cp:lastModifiedBy>Salvatore Crisafulli</cp:lastModifiedBy>
  <cp:revision>11</cp:revision>
  <dcterms:created xsi:type="dcterms:W3CDTF">2023-11-27T09:36:00Z</dcterms:created>
  <dcterms:modified xsi:type="dcterms:W3CDTF">2023-11-27T17:26:00Z</dcterms:modified>
</cp:coreProperties>
</file>